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4AF11DA5"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EC4E4B">
        <w:rPr>
          <w:rFonts w:ascii="Arial" w:hAnsi="Arial" w:cs="Arial"/>
          <w:b/>
          <w:sz w:val="24"/>
          <w:lang w:eastAsia="zh-CN"/>
        </w:rPr>
        <w:t>1</w:t>
      </w:r>
      <w:r w:rsidR="007C6BFA">
        <w:rPr>
          <w:rFonts w:ascii="Arial" w:hAnsi="Arial" w:cs="Arial"/>
          <w:b/>
          <w:sz w:val="24"/>
          <w:lang w:eastAsia="zh-CN"/>
        </w:rPr>
        <w:t>b-</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7C6BFA">
        <w:rPr>
          <w:rFonts w:ascii="Arial" w:hAnsi="Arial"/>
          <w:b/>
          <w:sz w:val="24"/>
          <w:lang w:eastAsia="zh-CN"/>
        </w:rPr>
        <w:t>20</w:t>
      </w:r>
      <w:r w:rsidR="00CC799E">
        <w:rPr>
          <w:rFonts w:ascii="Arial" w:eastAsia="SimSun" w:hAnsi="Arial"/>
          <w:b/>
          <w:sz w:val="24"/>
          <w:lang w:eastAsia="zh-CN"/>
        </w:rPr>
        <w:t>1793</w:t>
      </w:r>
    </w:p>
    <w:p w14:paraId="69814E2E" w14:textId="68BD2738"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w:t>
      </w:r>
      <w:r w:rsidR="00AD57EA">
        <w:rPr>
          <w:rFonts w:ascii="Arial" w:eastAsia="SimSun" w:hAnsi="Arial"/>
          <w:b/>
          <w:sz w:val="24"/>
          <w:lang w:eastAsia="zh-CN"/>
        </w:rPr>
        <w:t>7</w:t>
      </w:r>
      <w:r w:rsidR="00472E0E">
        <w:rPr>
          <w:rFonts w:ascii="Arial" w:eastAsia="SimSun" w:hAnsi="Arial"/>
          <w:b/>
          <w:sz w:val="24"/>
          <w:vertAlign w:val="superscript"/>
          <w:lang w:eastAsia="zh-CN"/>
        </w:rPr>
        <w:t>t</w:t>
      </w:r>
      <w:r w:rsidR="00AD57EA">
        <w:rPr>
          <w:rFonts w:ascii="Arial" w:eastAsia="SimSun" w:hAnsi="Arial"/>
          <w:b/>
          <w:sz w:val="24"/>
          <w:vertAlign w:val="superscript"/>
          <w:lang w:eastAsia="zh-CN"/>
        </w:rPr>
        <w:t>h</w:t>
      </w:r>
      <w:r w:rsidR="00707604" w:rsidRPr="00707604">
        <w:rPr>
          <w:rFonts w:ascii="Arial" w:eastAsia="SimSun" w:hAnsi="Arial"/>
          <w:b/>
          <w:sz w:val="24"/>
          <w:lang w:eastAsia="zh-CN"/>
        </w:rPr>
        <w:t xml:space="preserve"> - </w:t>
      </w:r>
      <w:r w:rsidR="002E3D5C">
        <w:rPr>
          <w:rFonts w:ascii="Arial" w:eastAsia="SimSun" w:hAnsi="Arial"/>
          <w:b/>
          <w:sz w:val="24"/>
          <w:lang w:eastAsia="zh-CN"/>
        </w:rPr>
        <w:t>2</w:t>
      </w:r>
      <w:r w:rsidR="00AD57EA">
        <w:rPr>
          <w:rFonts w:ascii="Arial" w:eastAsia="SimSun" w:hAnsi="Arial"/>
          <w:b/>
          <w:sz w:val="24"/>
          <w:lang w:eastAsia="zh-CN"/>
        </w:rPr>
        <w:t>5</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AD57EA">
        <w:rPr>
          <w:rFonts w:ascii="Arial" w:eastAsia="SimSun" w:hAnsi="Arial"/>
          <w:b/>
          <w:sz w:val="24"/>
          <w:lang w:eastAsia="zh-CN"/>
        </w:rPr>
        <w:t>Jan</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AD57EA">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0E5EC06E"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r w:rsidR="00795A49">
        <w:rPr>
          <w:rFonts w:eastAsia="SimSun"/>
          <w:sz w:val="24"/>
          <w:lang w:val="en-US" w:eastAsia="zh-CN"/>
        </w:rPr>
        <w:t>, Sanechips</w:t>
      </w:r>
    </w:p>
    <w:p w14:paraId="0D7F795A" w14:textId="0B65BD77"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9935DA" w:rsidRPr="009935DA">
        <w:rPr>
          <w:rFonts w:eastAsia="SimSun"/>
          <w:sz w:val="24"/>
          <w:lang w:val="en-US" w:eastAsia="zh-CN"/>
        </w:rPr>
        <w:t>Further discussion on RRM requirements for SDT</w:t>
      </w:r>
    </w:p>
    <w:p w14:paraId="6E5F21F2" w14:textId="3D0AC6D9"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9935DA">
        <w:rPr>
          <w:rFonts w:eastAsia="SimSun"/>
          <w:sz w:val="24"/>
          <w:lang w:val="en-US" w:eastAsia="zh-CN"/>
        </w:rPr>
        <w:t>6</w:t>
      </w:r>
      <w:r w:rsidR="00722CE4">
        <w:rPr>
          <w:rFonts w:eastAsia="SimSun"/>
          <w:sz w:val="24"/>
          <w:lang w:val="en-US" w:eastAsia="zh-CN"/>
        </w:rPr>
        <w:t>.</w:t>
      </w:r>
      <w:r w:rsidR="009935DA">
        <w:rPr>
          <w:rFonts w:eastAsia="SimSun"/>
          <w:sz w:val="24"/>
          <w:lang w:val="en-US" w:eastAsia="zh-CN"/>
        </w:rPr>
        <w:t>25</w:t>
      </w:r>
      <w:r w:rsidR="00722CE4">
        <w:rPr>
          <w:rFonts w:eastAsia="SimSun"/>
          <w:sz w:val="24"/>
          <w:lang w:val="en-US" w:eastAsia="zh-CN"/>
        </w:rPr>
        <w:t>.</w:t>
      </w:r>
      <w:r w:rsidR="009935DA">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0B5B3AC6" w:rsidR="00670B13" w:rsidRDefault="00536BE8"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RAN4#101-e, the workplan on specifying RRM requirements for SDT in RRC_INACTIVE state was approved [1], and a way forward was also agreed with the following open issues</w:t>
      </w:r>
      <w:r w:rsidR="00DB741C">
        <w:rPr>
          <w:rFonts w:eastAsia="SimSun"/>
          <w:sz w:val="21"/>
          <w:szCs w:val="21"/>
          <w:lang w:val="en-US" w:eastAsia="zh-CN"/>
        </w:rPr>
        <w:t xml:space="preserve"> [2]</w:t>
      </w:r>
      <w:r>
        <w:rPr>
          <w:rFonts w:eastAsia="SimSun"/>
          <w:sz w:val="21"/>
          <w:szCs w:val="21"/>
          <w:lang w:val="en-US" w:eastAsia="zh-CN"/>
        </w:rPr>
        <w:t>:</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rsidRPr="00010D44" w14:paraId="7B54DA23" w14:textId="77777777" w:rsidTr="00517A56">
        <w:tc>
          <w:tcPr>
            <w:tcW w:w="9288" w:type="dxa"/>
          </w:tcPr>
          <w:p w14:paraId="6DDE0193" w14:textId="5FEEECC5" w:rsidR="006427E9" w:rsidRPr="00010D44" w:rsidRDefault="006427E9" w:rsidP="006427E9">
            <w:pPr>
              <w:pStyle w:val="ListParagraph"/>
              <w:numPr>
                <w:ilvl w:val="0"/>
                <w:numId w:val="30"/>
              </w:numPr>
              <w:overflowPunct w:val="0"/>
              <w:autoSpaceDE w:val="0"/>
              <w:autoSpaceDN w:val="0"/>
              <w:adjustRightInd w:val="0"/>
              <w:ind w:firstLineChars="0"/>
              <w:textAlignment w:val="baseline"/>
              <w:rPr>
                <w:i/>
                <w:iCs/>
                <w:szCs w:val="21"/>
              </w:rPr>
            </w:pPr>
            <w:r w:rsidRPr="00010D44">
              <w:rPr>
                <w:i/>
                <w:iCs/>
                <w:szCs w:val="21"/>
              </w:rPr>
              <w:t>Whether or not RAN4 to introduce any RRM requirements for SDT decision procedure?</w:t>
            </w:r>
          </w:p>
          <w:p w14:paraId="78EF5C6F" w14:textId="77777777" w:rsidR="006427E9" w:rsidRPr="00010D44" w:rsidRDefault="006427E9" w:rsidP="006427E9">
            <w:pPr>
              <w:pStyle w:val="ListParagraph"/>
              <w:numPr>
                <w:ilvl w:val="1"/>
                <w:numId w:val="30"/>
              </w:numPr>
              <w:overflowPunct w:val="0"/>
              <w:autoSpaceDE w:val="0"/>
              <w:autoSpaceDN w:val="0"/>
              <w:adjustRightInd w:val="0"/>
              <w:ind w:firstLineChars="0"/>
              <w:textAlignment w:val="baseline"/>
              <w:rPr>
                <w:i/>
                <w:iCs/>
                <w:szCs w:val="21"/>
              </w:rPr>
            </w:pPr>
            <w:r w:rsidRPr="00010D44">
              <w:rPr>
                <w:i/>
                <w:iCs/>
                <w:szCs w:val="21"/>
              </w:rPr>
              <w:t>Option 1: Yes</w:t>
            </w:r>
          </w:p>
          <w:p w14:paraId="1219A539" w14:textId="77777777" w:rsidR="00517A56" w:rsidRPr="00010D44" w:rsidRDefault="006427E9" w:rsidP="006427E9">
            <w:pPr>
              <w:pStyle w:val="ListParagraph"/>
              <w:numPr>
                <w:ilvl w:val="1"/>
                <w:numId w:val="30"/>
              </w:numPr>
              <w:overflowPunct w:val="0"/>
              <w:autoSpaceDE w:val="0"/>
              <w:autoSpaceDN w:val="0"/>
              <w:adjustRightInd w:val="0"/>
              <w:ind w:firstLineChars="0"/>
              <w:textAlignment w:val="baseline"/>
              <w:rPr>
                <w:i/>
                <w:iCs/>
                <w:szCs w:val="21"/>
              </w:rPr>
            </w:pPr>
            <w:r w:rsidRPr="00010D44">
              <w:rPr>
                <w:i/>
                <w:iCs/>
                <w:szCs w:val="21"/>
              </w:rPr>
              <w:t>Option 2: No, SDT decision procedure does not have specs impact</w:t>
            </w:r>
          </w:p>
          <w:p w14:paraId="6E1E01F6" w14:textId="77777777" w:rsidR="006427E9" w:rsidRPr="00010D44" w:rsidRDefault="006427E9" w:rsidP="006427E9">
            <w:pPr>
              <w:pStyle w:val="ListParagraph"/>
              <w:numPr>
                <w:ilvl w:val="0"/>
                <w:numId w:val="30"/>
              </w:numPr>
              <w:overflowPunct w:val="0"/>
              <w:autoSpaceDE w:val="0"/>
              <w:autoSpaceDN w:val="0"/>
              <w:adjustRightInd w:val="0"/>
              <w:ind w:firstLineChars="0"/>
              <w:textAlignment w:val="baseline"/>
              <w:rPr>
                <w:i/>
                <w:iCs/>
                <w:szCs w:val="21"/>
              </w:rPr>
            </w:pPr>
            <w:bookmarkStart w:id="0" w:name="_Hlk92190709"/>
            <w:r w:rsidRPr="00010D44">
              <w:rPr>
                <w:i/>
                <w:iCs/>
                <w:szCs w:val="21"/>
              </w:rPr>
              <w:t>How would the validity of the SDT decisions for subsequent transmission impact RAN4 specs?</w:t>
            </w:r>
          </w:p>
          <w:p w14:paraId="103E2B36" w14:textId="77777777" w:rsidR="006427E9" w:rsidRPr="00010D44" w:rsidRDefault="006427E9" w:rsidP="006427E9">
            <w:pPr>
              <w:pStyle w:val="ListParagraph"/>
              <w:numPr>
                <w:ilvl w:val="1"/>
                <w:numId w:val="30"/>
              </w:numPr>
              <w:overflowPunct w:val="0"/>
              <w:autoSpaceDE w:val="0"/>
              <w:autoSpaceDN w:val="0"/>
              <w:adjustRightInd w:val="0"/>
              <w:ind w:firstLineChars="0"/>
              <w:textAlignment w:val="baseline"/>
              <w:rPr>
                <w:i/>
                <w:iCs/>
                <w:szCs w:val="21"/>
              </w:rPr>
            </w:pPr>
            <w:r w:rsidRPr="00010D44">
              <w:rPr>
                <w:i/>
                <w:iCs/>
                <w:szCs w:val="21"/>
              </w:rPr>
              <w:t>Option 1: No RAN4 specs impact</w:t>
            </w:r>
          </w:p>
          <w:p w14:paraId="1BED0AAB" w14:textId="77777777" w:rsidR="006427E9" w:rsidRPr="00010D44" w:rsidRDefault="006427E9" w:rsidP="006427E9">
            <w:pPr>
              <w:pStyle w:val="ListParagraph"/>
              <w:numPr>
                <w:ilvl w:val="1"/>
                <w:numId w:val="30"/>
              </w:numPr>
              <w:overflowPunct w:val="0"/>
              <w:autoSpaceDE w:val="0"/>
              <w:autoSpaceDN w:val="0"/>
              <w:adjustRightInd w:val="0"/>
              <w:ind w:firstLineChars="0"/>
              <w:textAlignment w:val="baseline"/>
              <w:rPr>
                <w:i/>
                <w:iCs/>
                <w:szCs w:val="21"/>
              </w:rPr>
            </w:pPr>
            <w:r w:rsidRPr="00010D44">
              <w:rPr>
                <w:i/>
                <w:iCs/>
                <w:szCs w:val="21"/>
              </w:rPr>
              <w:t>Option 2: Wait until RAN2 decisions</w:t>
            </w:r>
            <w:bookmarkEnd w:id="0"/>
          </w:p>
          <w:p w14:paraId="2D568B38" w14:textId="6BFE352E" w:rsidR="006427E9" w:rsidRPr="00010D44" w:rsidRDefault="006427E9" w:rsidP="006427E9">
            <w:pPr>
              <w:pStyle w:val="ListParagraph"/>
              <w:numPr>
                <w:ilvl w:val="0"/>
                <w:numId w:val="30"/>
              </w:numPr>
              <w:overflowPunct w:val="0"/>
              <w:autoSpaceDE w:val="0"/>
              <w:autoSpaceDN w:val="0"/>
              <w:adjustRightInd w:val="0"/>
              <w:ind w:firstLineChars="0"/>
              <w:textAlignment w:val="baseline"/>
              <w:rPr>
                <w:i/>
                <w:iCs/>
                <w:szCs w:val="21"/>
              </w:rPr>
            </w:pPr>
            <w:bookmarkStart w:id="1" w:name="_Hlk92190860"/>
            <w:r w:rsidRPr="00010D44">
              <w:rPr>
                <w:i/>
                <w:iCs/>
                <w:szCs w:val="21"/>
              </w:rPr>
              <w:t>If a UE is allowed for CG-SDT transmission, which sync requirements should it satisfy prior to the transmission?</w:t>
            </w:r>
            <w:bookmarkEnd w:id="1"/>
          </w:p>
          <w:p w14:paraId="6C279E29" w14:textId="77777777" w:rsidR="006427E9" w:rsidRPr="00010D44" w:rsidRDefault="006427E9" w:rsidP="006427E9">
            <w:pPr>
              <w:pStyle w:val="ListParagraph"/>
              <w:numPr>
                <w:ilvl w:val="1"/>
                <w:numId w:val="30"/>
              </w:numPr>
              <w:overflowPunct w:val="0"/>
              <w:autoSpaceDE w:val="0"/>
              <w:autoSpaceDN w:val="0"/>
              <w:adjustRightInd w:val="0"/>
              <w:ind w:firstLineChars="0"/>
              <w:textAlignment w:val="baseline"/>
              <w:rPr>
                <w:i/>
                <w:iCs/>
                <w:szCs w:val="21"/>
              </w:rPr>
            </w:pPr>
            <w:r w:rsidRPr="00010D44">
              <w:rPr>
                <w:i/>
                <w:iCs/>
                <w:szCs w:val="21"/>
              </w:rPr>
              <w:t>Option 1: Existing UE sync requirements towards the serving cell</w:t>
            </w:r>
          </w:p>
          <w:p w14:paraId="6A352B3E" w14:textId="77777777" w:rsidR="006427E9" w:rsidRPr="00010D44" w:rsidRDefault="006427E9" w:rsidP="006427E9">
            <w:pPr>
              <w:pStyle w:val="ListParagraph"/>
              <w:numPr>
                <w:ilvl w:val="1"/>
                <w:numId w:val="30"/>
              </w:numPr>
              <w:overflowPunct w:val="0"/>
              <w:autoSpaceDE w:val="0"/>
              <w:autoSpaceDN w:val="0"/>
              <w:adjustRightInd w:val="0"/>
              <w:ind w:firstLineChars="0"/>
              <w:textAlignment w:val="baseline"/>
              <w:rPr>
                <w:i/>
                <w:iCs/>
                <w:szCs w:val="21"/>
              </w:rPr>
            </w:pPr>
            <w:r w:rsidRPr="00010D44">
              <w:rPr>
                <w:i/>
                <w:iCs/>
                <w:szCs w:val="21"/>
              </w:rPr>
              <w:t>Option 3: FFS, but please state factors which make it not clear</w:t>
            </w:r>
          </w:p>
          <w:p w14:paraId="34C4C20A" w14:textId="585AD5D2" w:rsidR="006427E9" w:rsidRPr="00010D44" w:rsidRDefault="00116E64" w:rsidP="006427E9">
            <w:pPr>
              <w:pStyle w:val="ListParagraph"/>
              <w:numPr>
                <w:ilvl w:val="0"/>
                <w:numId w:val="30"/>
              </w:numPr>
              <w:overflowPunct w:val="0"/>
              <w:autoSpaceDE w:val="0"/>
              <w:autoSpaceDN w:val="0"/>
              <w:adjustRightInd w:val="0"/>
              <w:ind w:firstLineChars="0"/>
              <w:textAlignment w:val="baseline"/>
              <w:rPr>
                <w:i/>
                <w:iCs/>
                <w:szCs w:val="21"/>
              </w:rPr>
            </w:pPr>
            <w:r w:rsidRPr="00010D44">
              <w:rPr>
                <w:i/>
                <w:iCs/>
                <w:szCs w:val="21"/>
              </w:rPr>
              <w:t>RAN4 defined two window sizes and RAN2 defines two thresholds for TA validation.</w:t>
            </w:r>
          </w:p>
        </w:tc>
      </w:tr>
    </w:tbl>
    <w:p w14:paraId="4650BC39" w14:textId="74CE674C" w:rsidR="0019214A" w:rsidRPr="0019214A" w:rsidRDefault="00517A56"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w:t>
      </w:r>
      <w:r w:rsidR="00306964">
        <w:rPr>
          <w:rFonts w:eastAsia="SimSun"/>
          <w:sz w:val="21"/>
          <w:szCs w:val="21"/>
          <w:lang w:val="en-US" w:eastAsia="zh-CN"/>
        </w:rPr>
        <w:t>this contribution, we further discuss and provide our preferences on these open issues.</w:t>
      </w:r>
      <w:r w:rsidR="003845B4">
        <w:rPr>
          <w:rFonts w:eastAsia="SimSun"/>
          <w:sz w:val="21"/>
          <w:szCs w:val="21"/>
          <w:lang w:val="en-US" w:eastAsia="zh-CN"/>
        </w:rPr>
        <w:t xml:space="preserve">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0C106C5D" w14:textId="28FF7990" w:rsidR="001A0FE7" w:rsidRPr="00EF7328" w:rsidRDefault="00EF7328" w:rsidP="009B2891">
      <w:pPr>
        <w:pStyle w:val="BodyText"/>
        <w:tabs>
          <w:tab w:val="num" w:pos="226"/>
          <w:tab w:val="num" w:pos="284"/>
          <w:tab w:val="left" w:pos="5103"/>
        </w:tabs>
        <w:snapToGrid w:val="0"/>
        <w:rPr>
          <w:rFonts w:eastAsia="SimSun"/>
          <w:b/>
          <w:bCs/>
          <w:sz w:val="21"/>
          <w:szCs w:val="21"/>
          <w:u w:val="single"/>
          <w:lang w:val="en-GB" w:eastAsia="zh-CN"/>
        </w:rPr>
      </w:pPr>
      <w:r w:rsidRPr="00EF7328">
        <w:rPr>
          <w:b/>
          <w:bCs/>
          <w:szCs w:val="21"/>
          <w:u w:val="single"/>
        </w:rPr>
        <w:t>Whether or not RAN4 to introduce any RRM requirements for SDT decision procedure?</w:t>
      </w:r>
    </w:p>
    <w:p w14:paraId="1509D9D7" w14:textId="4A4C9880" w:rsidR="001A0FE7" w:rsidRDefault="00EF7328"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As discussed </w:t>
      </w:r>
      <w:r w:rsidR="004655E0">
        <w:rPr>
          <w:rFonts w:eastAsia="SimSun"/>
          <w:bCs/>
          <w:sz w:val="21"/>
          <w:szCs w:val="21"/>
          <w:lang w:val="en-GB" w:eastAsia="zh-CN"/>
        </w:rPr>
        <w:t>in [3][4], a SDT decision procedure involves</w:t>
      </w:r>
      <w:r w:rsidR="009D159F">
        <w:rPr>
          <w:rFonts w:eastAsia="SimSun"/>
          <w:bCs/>
          <w:sz w:val="21"/>
          <w:szCs w:val="21"/>
          <w:lang w:val="en-GB" w:eastAsia="zh-CN"/>
        </w:rPr>
        <w:t xml:space="preserve"> the following decisions based on both data volumes and RSRP measurements</w:t>
      </w:r>
      <w:r w:rsidR="004655E0">
        <w:rPr>
          <w:rFonts w:eastAsia="SimSun"/>
          <w:bCs/>
          <w:sz w:val="21"/>
          <w:szCs w:val="21"/>
          <w:lang w:val="en-GB" w:eastAsia="zh-CN"/>
        </w:rPr>
        <w:t xml:space="preserve">: </w:t>
      </w:r>
    </w:p>
    <w:p w14:paraId="6BBC8F0B" w14:textId="5BA77038" w:rsidR="004655E0" w:rsidRDefault="004655E0" w:rsidP="004655E0">
      <w:pPr>
        <w:pStyle w:val="BodyText"/>
        <w:numPr>
          <w:ilvl w:val="0"/>
          <w:numId w:val="31"/>
        </w:numPr>
        <w:tabs>
          <w:tab w:val="num" w:pos="284"/>
          <w:tab w:val="left" w:pos="5103"/>
        </w:tabs>
        <w:snapToGrid w:val="0"/>
        <w:rPr>
          <w:rFonts w:eastAsia="SimSun"/>
          <w:bCs/>
          <w:sz w:val="21"/>
          <w:szCs w:val="21"/>
          <w:lang w:val="en-GB" w:eastAsia="zh-CN"/>
        </w:rPr>
      </w:pPr>
      <w:r>
        <w:rPr>
          <w:rFonts w:eastAsia="SimSun"/>
          <w:bCs/>
          <w:sz w:val="21"/>
          <w:szCs w:val="21"/>
          <w:lang w:val="en-GB" w:eastAsia="zh-CN"/>
        </w:rPr>
        <w:t>SDT/Non-SDT selection</w:t>
      </w:r>
    </w:p>
    <w:p w14:paraId="4188FD65" w14:textId="5978DDD5" w:rsidR="004655E0" w:rsidRDefault="004655E0" w:rsidP="004655E0">
      <w:pPr>
        <w:pStyle w:val="BodyText"/>
        <w:numPr>
          <w:ilvl w:val="0"/>
          <w:numId w:val="31"/>
        </w:numPr>
        <w:tabs>
          <w:tab w:val="num" w:pos="284"/>
          <w:tab w:val="left" w:pos="5103"/>
        </w:tabs>
        <w:snapToGrid w:val="0"/>
        <w:rPr>
          <w:rFonts w:eastAsia="SimSun"/>
          <w:bCs/>
          <w:sz w:val="21"/>
          <w:szCs w:val="21"/>
          <w:lang w:val="en-US" w:eastAsia="zh-CN"/>
        </w:rPr>
      </w:pPr>
      <w:r w:rsidRPr="004655E0">
        <w:rPr>
          <w:rFonts w:eastAsia="SimSun"/>
          <w:bCs/>
          <w:sz w:val="21"/>
          <w:szCs w:val="21"/>
          <w:lang w:val="en-US" w:eastAsia="zh-CN"/>
        </w:rPr>
        <w:t>RA-SDT/CG-SDT selec</w:t>
      </w:r>
      <w:r>
        <w:rPr>
          <w:rFonts w:eastAsia="SimSun"/>
          <w:bCs/>
          <w:sz w:val="21"/>
          <w:szCs w:val="21"/>
          <w:lang w:val="en-US" w:eastAsia="zh-CN"/>
        </w:rPr>
        <w:t>tion</w:t>
      </w:r>
    </w:p>
    <w:p w14:paraId="0CE32BAB" w14:textId="163B10C4" w:rsidR="004655E0" w:rsidRPr="004655E0" w:rsidRDefault="004655E0" w:rsidP="004655E0">
      <w:pPr>
        <w:pStyle w:val="BodyText"/>
        <w:numPr>
          <w:ilvl w:val="1"/>
          <w:numId w:val="31"/>
        </w:numPr>
        <w:tabs>
          <w:tab w:val="num" w:pos="284"/>
          <w:tab w:val="left" w:pos="5103"/>
        </w:tabs>
        <w:snapToGrid w:val="0"/>
        <w:rPr>
          <w:rFonts w:eastAsia="SimSun"/>
          <w:bCs/>
          <w:sz w:val="21"/>
          <w:szCs w:val="21"/>
          <w:lang w:val="en-US" w:eastAsia="zh-CN"/>
        </w:rPr>
      </w:pPr>
      <w:r>
        <w:rPr>
          <w:rFonts w:eastAsia="SimSun"/>
          <w:bCs/>
          <w:sz w:val="21"/>
          <w:szCs w:val="21"/>
          <w:lang w:val="en-US" w:eastAsia="zh-CN"/>
        </w:rPr>
        <w:t>2-step/4-step selection</w:t>
      </w:r>
    </w:p>
    <w:p w14:paraId="1F13B9D6" w14:textId="64EF71A5" w:rsidR="00EF7328" w:rsidRDefault="00EF0EB6" w:rsidP="009B2891">
      <w:pPr>
        <w:pStyle w:val="BodyText"/>
        <w:tabs>
          <w:tab w:val="num" w:pos="226"/>
          <w:tab w:val="num" w:pos="284"/>
          <w:tab w:val="left" w:pos="5103"/>
        </w:tabs>
        <w:snapToGrid w:val="0"/>
        <w:rPr>
          <w:rFonts w:eastAsia="SimSun"/>
          <w:bCs/>
          <w:sz w:val="21"/>
          <w:szCs w:val="21"/>
          <w:lang w:val="en-US" w:eastAsia="zh-CN"/>
        </w:rPr>
      </w:pPr>
      <w:r>
        <w:rPr>
          <w:rFonts w:eastAsia="SimSun"/>
          <w:bCs/>
          <w:sz w:val="21"/>
          <w:szCs w:val="21"/>
          <w:lang w:val="en-US" w:eastAsia="zh-CN"/>
        </w:rPr>
        <w:t xml:space="preserve">In our understanding, the right place to specify this procedure is RAN2 specs, </w:t>
      </w:r>
      <w:r w:rsidR="004B74C3">
        <w:rPr>
          <w:rFonts w:eastAsia="SimSun"/>
          <w:bCs/>
          <w:sz w:val="21"/>
          <w:szCs w:val="21"/>
          <w:lang w:val="en-US" w:eastAsia="zh-CN"/>
        </w:rPr>
        <w:t xml:space="preserve">and the selection of SDT/Non-SDT, RA/CG-SDT, and 2/4-step is totally up to scheduler’s strategy by consolidating both higher-layer and low-layer information, which is a pure implementation issue. </w:t>
      </w:r>
      <w:r>
        <w:rPr>
          <w:rFonts w:eastAsia="SimSun"/>
          <w:bCs/>
          <w:sz w:val="21"/>
          <w:szCs w:val="21"/>
          <w:lang w:val="en-US" w:eastAsia="zh-CN"/>
        </w:rPr>
        <w:t xml:space="preserve">RAN4 does not need to </w:t>
      </w:r>
      <w:r w:rsidR="004B74C3">
        <w:rPr>
          <w:rFonts w:eastAsia="SimSun"/>
          <w:bCs/>
          <w:sz w:val="21"/>
          <w:szCs w:val="21"/>
          <w:lang w:val="en-US" w:eastAsia="zh-CN"/>
        </w:rPr>
        <w:t>introduce</w:t>
      </w:r>
      <w:r>
        <w:rPr>
          <w:rFonts w:eastAsia="SimSun"/>
          <w:bCs/>
          <w:sz w:val="21"/>
          <w:szCs w:val="21"/>
          <w:lang w:val="en-US" w:eastAsia="zh-CN"/>
        </w:rPr>
        <w:t xml:space="preserve"> any RRM requirement for this decision procedure.</w:t>
      </w:r>
    </w:p>
    <w:p w14:paraId="50E7BA8E" w14:textId="558AD98E" w:rsidR="008C57A9" w:rsidRPr="008C57A9" w:rsidRDefault="008C57A9" w:rsidP="009B2891">
      <w:pPr>
        <w:pStyle w:val="BodyText"/>
        <w:tabs>
          <w:tab w:val="num" w:pos="226"/>
          <w:tab w:val="num" w:pos="284"/>
          <w:tab w:val="left" w:pos="5103"/>
        </w:tabs>
        <w:snapToGrid w:val="0"/>
        <w:rPr>
          <w:rFonts w:eastAsia="SimSun"/>
          <w:b/>
          <w:sz w:val="21"/>
          <w:szCs w:val="21"/>
          <w:lang w:val="en-US" w:eastAsia="zh-CN"/>
        </w:rPr>
      </w:pPr>
      <w:r w:rsidRPr="008C57A9">
        <w:rPr>
          <w:rFonts w:eastAsia="SimSun"/>
          <w:b/>
          <w:sz w:val="21"/>
          <w:szCs w:val="21"/>
          <w:lang w:val="en-US" w:eastAsia="zh-CN"/>
        </w:rPr>
        <w:t>Proposal 1: SDT decision procedure shall be specified in RAN2 specs, and decisions are totally up to scheduler’s implementation. RAN4 does not need to introduce any RRM requirement for SDT decision procedure.</w:t>
      </w:r>
    </w:p>
    <w:p w14:paraId="5D3BD1F0" w14:textId="77777777" w:rsidR="008C57A9" w:rsidRDefault="008C57A9" w:rsidP="008C57A9">
      <w:pPr>
        <w:pStyle w:val="BodyText"/>
        <w:tabs>
          <w:tab w:val="num" w:pos="226"/>
          <w:tab w:val="num" w:pos="284"/>
          <w:tab w:val="left" w:pos="5103"/>
        </w:tabs>
        <w:snapToGrid w:val="0"/>
        <w:rPr>
          <w:rFonts w:eastAsia="SimSun"/>
          <w:bCs/>
          <w:sz w:val="21"/>
          <w:szCs w:val="21"/>
          <w:lang w:val="en-US" w:eastAsia="zh-CN"/>
        </w:rPr>
      </w:pPr>
    </w:p>
    <w:p w14:paraId="549AA02D" w14:textId="5086C4E1" w:rsidR="008C57A9" w:rsidRPr="008C57A9" w:rsidRDefault="008C57A9" w:rsidP="008C57A9">
      <w:pPr>
        <w:pStyle w:val="BodyText"/>
        <w:tabs>
          <w:tab w:val="num" w:pos="226"/>
          <w:tab w:val="num" w:pos="284"/>
          <w:tab w:val="left" w:pos="5103"/>
        </w:tabs>
        <w:snapToGrid w:val="0"/>
        <w:rPr>
          <w:rFonts w:eastAsia="SimSun"/>
          <w:b/>
          <w:sz w:val="21"/>
          <w:szCs w:val="21"/>
          <w:u w:val="single"/>
          <w:lang w:val="en-US" w:eastAsia="zh-CN"/>
        </w:rPr>
      </w:pPr>
      <w:r w:rsidRPr="008C57A9">
        <w:rPr>
          <w:rFonts w:eastAsia="SimSun"/>
          <w:b/>
          <w:sz w:val="21"/>
          <w:szCs w:val="21"/>
          <w:u w:val="single"/>
          <w:lang w:val="en-US" w:eastAsia="zh-CN"/>
        </w:rPr>
        <w:t>How would the validity of the SDT decisions for subsequent transmission impact RAN4 specs?</w:t>
      </w:r>
    </w:p>
    <w:p w14:paraId="4AC8F719" w14:textId="29375164" w:rsidR="008C57A9" w:rsidRPr="004655E0" w:rsidRDefault="008C57A9" w:rsidP="008C57A9">
      <w:pPr>
        <w:pStyle w:val="BodyText"/>
        <w:tabs>
          <w:tab w:val="num" w:pos="226"/>
          <w:tab w:val="num" w:pos="284"/>
          <w:tab w:val="left" w:pos="5103"/>
        </w:tabs>
        <w:snapToGrid w:val="0"/>
        <w:rPr>
          <w:rFonts w:eastAsia="SimSun"/>
          <w:bCs/>
          <w:sz w:val="21"/>
          <w:szCs w:val="21"/>
          <w:lang w:val="en-US" w:eastAsia="zh-CN"/>
        </w:rPr>
      </w:pPr>
      <w:r>
        <w:rPr>
          <w:rFonts w:eastAsia="SimSun"/>
          <w:bCs/>
          <w:sz w:val="21"/>
          <w:szCs w:val="21"/>
          <w:lang w:val="en-US" w:eastAsia="zh-CN"/>
        </w:rPr>
        <w:lastRenderedPageBreak/>
        <w:t>The validity of the SDT decisions for subsequent transmission is actually part of the SDT decisions, thus it plays no impact on RAN4 specs.</w:t>
      </w:r>
    </w:p>
    <w:p w14:paraId="1C8B4950" w14:textId="6506AA41" w:rsidR="00EF7328" w:rsidRPr="00643F09" w:rsidRDefault="008C57A9" w:rsidP="009B2891">
      <w:pPr>
        <w:pStyle w:val="BodyText"/>
        <w:tabs>
          <w:tab w:val="num" w:pos="226"/>
          <w:tab w:val="num" w:pos="284"/>
          <w:tab w:val="left" w:pos="5103"/>
        </w:tabs>
        <w:snapToGrid w:val="0"/>
        <w:rPr>
          <w:rFonts w:eastAsia="SimSun"/>
          <w:b/>
          <w:sz w:val="21"/>
          <w:szCs w:val="21"/>
          <w:lang w:val="en-US" w:eastAsia="zh-CN"/>
        </w:rPr>
      </w:pPr>
      <w:r w:rsidRPr="00643F09">
        <w:rPr>
          <w:rFonts w:eastAsia="SimSun"/>
          <w:b/>
          <w:sz w:val="21"/>
          <w:szCs w:val="21"/>
          <w:lang w:val="en-US" w:eastAsia="zh-CN"/>
        </w:rPr>
        <w:t>Proposal 2: The validity of the SDT decisions for subsequent transmission has no impact on RAN4 specs.</w:t>
      </w:r>
    </w:p>
    <w:p w14:paraId="3635B10E" w14:textId="23DB6A8C" w:rsidR="008C57A9" w:rsidRDefault="008C57A9" w:rsidP="009B2891">
      <w:pPr>
        <w:pStyle w:val="BodyText"/>
        <w:tabs>
          <w:tab w:val="num" w:pos="226"/>
          <w:tab w:val="num" w:pos="284"/>
          <w:tab w:val="left" w:pos="5103"/>
        </w:tabs>
        <w:snapToGrid w:val="0"/>
        <w:rPr>
          <w:rFonts w:eastAsia="SimSun"/>
          <w:bCs/>
          <w:sz w:val="21"/>
          <w:szCs w:val="21"/>
          <w:lang w:val="en-US" w:eastAsia="zh-CN"/>
        </w:rPr>
      </w:pPr>
    </w:p>
    <w:p w14:paraId="33933CA0" w14:textId="3C353E19" w:rsidR="00643F09" w:rsidRPr="00643F09" w:rsidRDefault="00643F09" w:rsidP="009B2891">
      <w:pPr>
        <w:pStyle w:val="BodyText"/>
        <w:tabs>
          <w:tab w:val="num" w:pos="226"/>
          <w:tab w:val="num" w:pos="284"/>
          <w:tab w:val="left" w:pos="5103"/>
        </w:tabs>
        <w:snapToGrid w:val="0"/>
        <w:rPr>
          <w:rFonts w:eastAsia="SimSun"/>
          <w:b/>
          <w:sz w:val="21"/>
          <w:szCs w:val="21"/>
          <w:u w:val="single"/>
          <w:lang w:val="en-US" w:eastAsia="zh-CN"/>
        </w:rPr>
      </w:pPr>
      <w:r w:rsidRPr="00643F09">
        <w:rPr>
          <w:rFonts w:eastAsia="SimSun"/>
          <w:b/>
          <w:sz w:val="21"/>
          <w:szCs w:val="21"/>
          <w:u w:val="single"/>
          <w:lang w:val="en-US" w:eastAsia="zh-CN"/>
        </w:rPr>
        <w:t>If a UE is allowed for CG-SDT transmission, which sync requirements should it satisfy prior to the transmission?</w:t>
      </w:r>
    </w:p>
    <w:p w14:paraId="63A24478" w14:textId="4DB5EC47" w:rsidR="008C57A9" w:rsidRDefault="00643F09" w:rsidP="009B2891">
      <w:pPr>
        <w:pStyle w:val="BodyText"/>
        <w:tabs>
          <w:tab w:val="num" w:pos="226"/>
          <w:tab w:val="num" w:pos="284"/>
          <w:tab w:val="left" w:pos="5103"/>
        </w:tabs>
        <w:snapToGrid w:val="0"/>
        <w:rPr>
          <w:rFonts w:eastAsia="SimSun"/>
          <w:bCs/>
          <w:sz w:val="21"/>
          <w:szCs w:val="21"/>
          <w:lang w:val="en-US" w:eastAsia="zh-CN"/>
        </w:rPr>
      </w:pPr>
      <w:r>
        <w:rPr>
          <w:rFonts w:eastAsia="SimSun"/>
          <w:bCs/>
          <w:sz w:val="21"/>
          <w:szCs w:val="21"/>
          <w:lang w:val="en-US" w:eastAsia="zh-CN"/>
        </w:rPr>
        <w:t xml:space="preserve">If a UE is allowed for CG-SDT transmission, it actually means that the TA of the UE </w:t>
      </w:r>
      <w:r w:rsidR="00CD2D25">
        <w:rPr>
          <w:rFonts w:eastAsia="SimSun"/>
          <w:bCs/>
          <w:sz w:val="21"/>
          <w:szCs w:val="21"/>
          <w:lang w:val="en-US" w:eastAsia="zh-CN"/>
        </w:rPr>
        <w:t>has been</w:t>
      </w:r>
      <w:r>
        <w:rPr>
          <w:rFonts w:eastAsia="SimSun"/>
          <w:bCs/>
          <w:sz w:val="21"/>
          <w:szCs w:val="21"/>
          <w:lang w:val="en-US" w:eastAsia="zh-CN"/>
        </w:rPr>
        <w:t xml:space="preserve"> validated </w:t>
      </w:r>
      <w:r w:rsidR="005B2F70">
        <w:rPr>
          <w:rFonts w:eastAsia="SimSun"/>
          <w:bCs/>
          <w:sz w:val="21"/>
          <w:szCs w:val="21"/>
          <w:lang w:val="en-US" w:eastAsia="zh-CN"/>
        </w:rPr>
        <w:t xml:space="preserve">by measuring RSRP twice in the two windows, thus </w:t>
      </w:r>
      <w:r>
        <w:rPr>
          <w:rFonts w:eastAsia="SimSun"/>
          <w:bCs/>
          <w:sz w:val="21"/>
          <w:szCs w:val="21"/>
          <w:lang w:val="en-US" w:eastAsia="zh-CN"/>
        </w:rPr>
        <w:t>the existing sync requirement</w:t>
      </w:r>
      <w:r w:rsidR="00AD0546">
        <w:rPr>
          <w:rFonts w:eastAsia="SimSun"/>
          <w:bCs/>
          <w:sz w:val="21"/>
          <w:szCs w:val="21"/>
          <w:lang w:val="en-US" w:eastAsia="zh-CN"/>
        </w:rPr>
        <w:t>s</w:t>
      </w:r>
      <w:r>
        <w:rPr>
          <w:rFonts w:eastAsia="SimSun"/>
          <w:bCs/>
          <w:sz w:val="21"/>
          <w:szCs w:val="21"/>
          <w:lang w:val="en-US" w:eastAsia="zh-CN"/>
        </w:rPr>
        <w:t xml:space="preserve"> towards the serving cell</w:t>
      </w:r>
      <w:r w:rsidR="00823B33">
        <w:rPr>
          <w:rFonts w:eastAsia="SimSun"/>
          <w:bCs/>
          <w:sz w:val="21"/>
          <w:szCs w:val="21"/>
          <w:lang w:val="en-US" w:eastAsia="zh-CN"/>
        </w:rPr>
        <w:t xml:space="preserve"> </w:t>
      </w:r>
      <w:r w:rsidR="00AD0546">
        <w:rPr>
          <w:rFonts w:eastAsia="SimSun"/>
          <w:bCs/>
          <w:sz w:val="21"/>
          <w:szCs w:val="21"/>
          <w:lang w:val="en-US" w:eastAsia="zh-CN"/>
        </w:rPr>
        <w:t>are</w:t>
      </w:r>
      <w:r w:rsidR="00823B33">
        <w:rPr>
          <w:rFonts w:eastAsia="SimSun"/>
          <w:bCs/>
          <w:sz w:val="21"/>
          <w:szCs w:val="21"/>
          <w:lang w:val="en-US" w:eastAsia="zh-CN"/>
        </w:rPr>
        <w:t xml:space="preserve"> guaranteed</w:t>
      </w:r>
      <w:r w:rsidR="00F83016">
        <w:rPr>
          <w:rFonts w:eastAsia="SimSun"/>
          <w:bCs/>
          <w:sz w:val="21"/>
          <w:szCs w:val="21"/>
          <w:lang w:val="en-US" w:eastAsia="zh-CN"/>
        </w:rPr>
        <w:t>, and no additional sync requirements are needed.</w:t>
      </w:r>
    </w:p>
    <w:p w14:paraId="588A5DD6" w14:textId="23C6B0AD" w:rsidR="00AD0546" w:rsidRPr="00AD0546" w:rsidRDefault="00AD0546" w:rsidP="009B2891">
      <w:pPr>
        <w:pStyle w:val="BodyText"/>
        <w:tabs>
          <w:tab w:val="num" w:pos="226"/>
          <w:tab w:val="num" w:pos="284"/>
          <w:tab w:val="left" w:pos="5103"/>
        </w:tabs>
        <w:snapToGrid w:val="0"/>
        <w:rPr>
          <w:rFonts w:eastAsia="SimSun"/>
          <w:b/>
          <w:sz w:val="21"/>
          <w:szCs w:val="21"/>
          <w:lang w:val="en-US" w:eastAsia="zh-CN"/>
        </w:rPr>
      </w:pPr>
      <w:r w:rsidRPr="00AD0546">
        <w:rPr>
          <w:rFonts w:eastAsia="SimSun"/>
          <w:b/>
          <w:sz w:val="21"/>
          <w:szCs w:val="21"/>
          <w:lang w:val="en-US" w:eastAsia="zh-CN"/>
        </w:rPr>
        <w:t xml:space="preserve">Proposal 3: RAN4 does not need to introduce additional sync requirements for the UE being allowed for CG-SDT transmission. </w:t>
      </w:r>
    </w:p>
    <w:p w14:paraId="363D6BCC" w14:textId="3619BC0E" w:rsidR="00AD0546" w:rsidRDefault="00AD0546" w:rsidP="009B2891">
      <w:pPr>
        <w:pStyle w:val="BodyText"/>
        <w:tabs>
          <w:tab w:val="num" w:pos="226"/>
          <w:tab w:val="num" w:pos="284"/>
          <w:tab w:val="left" w:pos="5103"/>
        </w:tabs>
        <w:snapToGrid w:val="0"/>
        <w:rPr>
          <w:rFonts w:eastAsia="SimSun"/>
          <w:bCs/>
          <w:sz w:val="21"/>
          <w:szCs w:val="21"/>
          <w:lang w:val="en-US" w:eastAsia="zh-CN"/>
        </w:rPr>
      </w:pPr>
    </w:p>
    <w:p w14:paraId="14502FCB" w14:textId="52299E8B" w:rsidR="00EB4D29" w:rsidRPr="00EB4D29" w:rsidRDefault="00EB4D29" w:rsidP="009B2891">
      <w:pPr>
        <w:pStyle w:val="BodyText"/>
        <w:tabs>
          <w:tab w:val="num" w:pos="226"/>
          <w:tab w:val="num" w:pos="284"/>
          <w:tab w:val="left" w:pos="5103"/>
        </w:tabs>
        <w:snapToGrid w:val="0"/>
        <w:rPr>
          <w:rFonts w:eastAsia="SimSun"/>
          <w:b/>
          <w:sz w:val="21"/>
          <w:szCs w:val="21"/>
          <w:u w:val="single"/>
          <w:lang w:val="en-US" w:eastAsia="zh-CN"/>
        </w:rPr>
      </w:pPr>
      <w:r w:rsidRPr="00EB4D29">
        <w:rPr>
          <w:rFonts w:eastAsia="SimSun"/>
          <w:b/>
          <w:sz w:val="21"/>
          <w:szCs w:val="21"/>
          <w:u w:val="single"/>
          <w:lang w:val="en-US" w:eastAsia="zh-CN"/>
        </w:rPr>
        <w:t>RAN4 defined two window sizes and RAN2 defines two thresholds for TA validation.</w:t>
      </w:r>
    </w:p>
    <w:p w14:paraId="08E76AB6" w14:textId="77777777" w:rsidR="008C3AE4" w:rsidRPr="008C3AE4" w:rsidRDefault="008C3AE4" w:rsidP="008C3AE4">
      <w:pPr>
        <w:spacing w:before="75" w:after="75" w:line="315" w:lineRule="atLeast"/>
        <w:rPr>
          <w:rFonts w:ascii="Arial" w:eastAsia="Calibri" w:hAnsi="Arial" w:cs="Arial"/>
          <w:color w:val="000000"/>
          <w:sz w:val="21"/>
          <w:szCs w:val="21"/>
          <w:lang w:val="en-GB" w:eastAsia="en-GB"/>
        </w:rPr>
      </w:pPr>
    </w:p>
    <w:p w14:paraId="30F571EE" w14:textId="77777777" w:rsidR="008C3AE4" w:rsidRPr="008C3AE4" w:rsidRDefault="008C3AE4" w:rsidP="008C3AE4">
      <w:pPr>
        <w:spacing w:before="75" w:after="75" w:line="315" w:lineRule="atLeast"/>
        <w:jc w:val="center"/>
        <w:rPr>
          <w:rFonts w:ascii="Arial" w:eastAsia="Calibri" w:hAnsi="Arial" w:cs="Arial"/>
          <w:color w:val="000000"/>
          <w:sz w:val="21"/>
          <w:szCs w:val="21"/>
          <w:lang w:val="en-GB" w:eastAsia="en-GB"/>
        </w:rPr>
      </w:pPr>
      <w:r w:rsidRPr="008C3AE4">
        <w:rPr>
          <w:rFonts w:ascii="Arial" w:eastAsia="Calibri" w:hAnsi="Arial" w:cs="Arial"/>
          <w:noProof/>
          <w:color w:val="000000"/>
          <w:sz w:val="21"/>
          <w:szCs w:val="21"/>
          <w:lang w:val="en-GB" w:eastAsia="en-GB"/>
        </w:rPr>
        <w:drawing>
          <wp:inline distT="0" distB="0" distL="0" distR="0" wp14:anchorId="1F23E4B8" wp14:editId="3F0A2A34">
            <wp:extent cx="6043930" cy="32194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43930" cy="3219450"/>
                    </a:xfrm>
                    <a:prstGeom prst="rect">
                      <a:avLst/>
                    </a:prstGeom>
                    <a:noFill/>
                    <a:ln>
                      <a:noFill/>
                    </a:ln>
                  </pic:spPr>
                </pic:pic>
              </a:graphicData>
            </a:graphic>
          </wp:inline>
        </w:drawing>
      </w:r>
    </w:p>
    <w:p w14:paraId="53207893" w14:textId="77777777" w:rsidR="008C3AE4" w:rsidRPr="008C3AE4" w:rsidRDefault="008C3AE4" w:rsidP="008C3AE4">
      <w:pPr>
        <w:spacing w:before="75" w:after="75" w:line="315" w:lineRule="atLeast"/>
        <w:jc w:val="center"/>
        <w:rPr>
          <w:rFonts w:ascii="Arial" w:eastAsia="Calibri" w:hAnsi="Arial" w:cs="Arial"/>
          <w:color w:val="000000"/>
          <w:sz w:val="21"/>
          <w:szCs w:val="21"/>
          <w:lang w:eastAsia="en-GB"/>
        </w:rPr>
      </w:pPr>
      <w:r w:rsidRPr="008C3AE4">
        <w:rPr>
          <w:rFonts w:ascii="Arial" w:eastAsia="Calibri" w:hAnsi="Arial" w:cs="Arial"/>
          <w:color w:val="000000"/>
          <w:sz w:val="21"/>
          <w:szCs w:val="21"/>
          <w:lang w:eastAsia="en-GB"/>
        </w:rPr>
        <w:t>Fig. 1, TA validation for CG-SDT</w:t>
      </w:r>
    </w:p>
    <w:p w14:paraId="1FBE7353" w14:textId="77777777" w:rsidR="008C3AE4" w:rsidRPr="008C3AE4" w:rsidRDefault="008C3AE4" w:rsidP="008C3AE4">
      <w:pPr>
        <w:spacing w:before="75" w:after="75" w:line="315" w:lineRule="atLeast"/>
        <w:rPr>
          <w:rFonts w:ascii="Arial" w:eastAsia="Calibri" w:hAnsi="Arial" w:cs="Arial"/>
          <w:color w:val="000000"/>
          <w:sz w:val="21"/>
          <w:szCs w:val="21"/>
          <w:lang w:eastAsia="en-GB"/>
        </w:rPr>
      </w:pPr>
      <w:r w:rsidRPr="008C3AE4">
        <w:rPr>
          <w:rFonts w:ascii="Arial" w:eastAsia="Calibri" w:hAnsi="Arial" w:cs="Arial"/>
          <w:color w:val="000000"/>
          <w:sz w:val="21"/>
          <w:szCs w:val="21"/>
          <w:lang w:eastAsia="en-GB"/>
        </w:rPr>
        <w:t>As illustrated in Fig. 1, when CG-SDT occasion is configured for a UE in RRC_INACTIVE state with a configured paging DRX cycle as well. There are two windows defined for measuring SSB RSRP:</w:t>
      </w:r>
    </w:p>
    <w:p w14:paraId="685AFB69" w14:textId="09CA2C66" w:rsidR="008C3AE4" w:rsidRPr="008C3AE4" w:rsidRDefault="008C3AE4" w:rsidP="008C3AE4">
      <w:pPr>
        <w:numPr>
          <w:ilvl w:val="0"/>
          <w:numId w:val="32"/>
        </w:numPr>
        <w:spacing w:before="75" w:after="75" w:line="315" w:lineRule="atLeast"/>
        <w:rPr>
          <w:rFonts w:ascii="Arial" w:eastAsia="Calibri" w:hAnsi="Arial" w:cs="Arial"/>
          <w:color w:val="000000"/>
          <w:sz w:val="21"/>
          <w:szCs w:val="21"/>
          <w:lang w:eastAsia="en-GB"/>
        </w:rPr>
      </w:pPr>
      <w:r w:rsidRPr="008C3AE4">
        <w:rPr>
          <w:rFonts w:ascii="Arial" w:eastAsia="Calibri" w:hAnsi="Arial" w:cs="Arial"/>
          <w:color w:val="000000"/>
          <w:sz w:val="21"/>
          <w:szCs w:val="21"/>
          <w:lang w:eastAsia="en-GB"/>
        </w:rPr>
        <w:t>Window #1: the window is centered at T</w:t>
      </w:r>
      <w:r w:rsidRPr="008C3AE4">
        <w:rPr>
          <w:rFonts w:ascii="Arial" w:eastAsia="Calibri" w:hAnsi="Arial" w:cs="Arial"/>
          <w:color w:val="000000"/>
          <w:sz w:val="21"/>
          <w:szCs w:val="21"/>
          <w:vertAlign w:val="subscript"/>
          <w:lang w:eastAsia="en-GB"/>
        </w:rPr>
        <w:t>1</w:t>
      </w:r>
      <w:r w:rsidRPr="008C3AE4">
        <w:rPr>
          <w:rFonts w:ascii="Arial" w:eastAsia="Calibri" w:hAnsi="Arial" w:cs="Arial"/>
          <w:color w:val="000000"/>
          <w:sz w:val="21"/>
          <w:szCs w:val="21"/>
          <w:lang w:eastAsia="en-GB"/>
        </w:rPr>
        <w:t>, which is the time when the latest N</w:t>
      </w:r>
      <w:r w:rsidRPr="008C3AE4">
        <w:rPr>
          <w:rFonts w:ascii="Arial" w:eastAsia="Calibri" w:hAnsi="Arial" w:cs="Arial"/>
          <w:color w:val="000000"/>
          <w:sz w:val="21"/>
          <w:szCs w:val="21"/>
          <w:vertAlign w:val="subscript"/>
          <w:lang w:eastAsia="en-GB"/>
        </w:rPr>
        <w:t>TA</w:t>
      </w:r>
      <w:r w:rsidRPr="008C3AE4">
        <w:rPr>
          <w:rFonts w:ascii="Arial" w:eastAsia="Calibri" w:hAnsi="Arial" w:cs="Arial"/>
          <w:color w:val="000000"/>
          <w:sz w:val="21"/>
          <w:szCs w:val="21"/>
          <w:lang w:eastAsia="en-GB"/>
        </w:rPr>
        <w:t xml:space="preserve"> was obtained by the UE via Timing Advance Command MAC control element. And RSRP</w:t>
      </w:r>
      <w:r w:rsidRPr="008C3AE4">
        <w:rPr>
          <w:rFonts w:ascii="Arial" w:eastAsia="Calibri" w:hAnsi="Arial" w:cs="Arial"/>
          <w:color w:val="000000"/>
          <w:sz w:val="21"/>
          <w:szCs w:val="21"/>
          <w:vertAlign w:val="subscript"/>
          <w:lang w:eastAsia="en-GB"/>
        </w:rPr>
        <w:t>1</w:t>
      </w:r>
      <w:r w:rsidRPr="008C3AE4">
        <w:rPr>
          <w:rFonts w:ascii="Arial" w:eastAsia="Calibri" w:hAnsi="Arial" w:cs="Arial"/>
          <w:color w:val="000000"/>
          <w:sz w:val="21"/>
          <w:szCs w:val="21"/>
          <w:lang w:eastAsia="en-GB"/>
        </w:rPr>
        <w:t xml:space="preserve"> is measured within this window. The duration of </w:t>
      </w:r>
      <w:r w:rsidR="005D7437">
        <w:rPr>
          <w:rFonts w:ascii="Arial" w:eastAsia="Calibri" w:hAnsi="Arial" w:cs="Arial"/>
          <w:color w:val="000000"/>
          <w:sz w:val="21"/>
          <w:szCs w:val="21"/>
          <w:lang w:eastAsia="en-GB"/>
        </w:rPr>
        <w:t>W</w:t>
      </w:r>
      <w:r w:rsidRPr="008C3AE4">
        <w:rPr>
          <w:rFonts w:ascii="Arial" w:eastAsia="Calibri" w:hAnsi="Arial" w:cs="Arial"/>
          <w:color w:val="000000"/>
          <w:sz w:val="21"/>
          <w:szCs w:val="21"/>
          <w:lang w:eastAsia="en-GB"/>
        </w:rPr>
        <w:t>indow</w:t>
      </w:r>
      <w:r w:rsidR="00407034">
        <w:rPr>
          <w:rFonts w:ascii="Arial" w:eastAsia="Calibri" w:hAnsi="Arial" w:cs="Arial"/>
          <w:color w:val="000000"/>
          <w:sz w:val="21"/>
          <w:szCs w:val="21"/>
          <w:lang w:eastAsia="en-GB"/>
        </w:rPr>
        <w:t xml:space="preserve"> #1</w:t>
      </w:r>
      <w:r w:rsidRPr="008C3AE4">
        <w:rPr>
          <w:rFonts w:ascii="Arial" w:eastAsia="Calibri" w:hAnsi="Arial" w:cs="Arial"/>
          <w:color w:val="000000"/>
          <w:sz w:val="21"/>
          <w:szCs w:val="21"/>
          <w:lang w:eastAsia="en-GB"/>
        </w:rPr>
        <w:t xml:space="preserve"> is ∆T</w:t>
      </w:r>
      <w:r w:rsidRPr="008C3AE4">
        <w:rPr>
          <w:rFonts w:ascii="Arial" w:eastAsia="Calibri" w:hAnsi="Arial" w:cs="Arial"/>
          <w:color w:val="000000"/>
          <w:sz w:val="21"/>
          <w:szCs w:val="21"/>
          <w:vertAlign w:val="subscript"/>
          <w:lang w:eastAsia="en-GB"/>
        </w:rPr>
        <w:t>1</w:t>
      </w:r>
      <w:r w:rsidRPr="008C3AE4">
        <w:rPr>
          <w:rFonts w:ascii="Arial" w:eastAsia="Calibri" w:hAnsi="Arial" w:cs="Arial"/>
          <w:color w:val="000000"/>
          <w:sz w:val="21"/>
          <w:szCs w:val="21"/>
          <w:lang w:eastAsia="en-GB"/>
        </w:rPr>
        <w:t>. It may come from the RSRP measurement due to paging procedure, or the last RSRP measurement before the UE enters into RRC_INACTIVE state.</w:t>
      </w:r>
    </w:p>
    <w:p w14:paraId="056BD732" w14:textId="77777777" w:rsidR="008C3AE4" w:rsidRPr="008C3AE4" w:rsidRDefault="008C3AE4" w:rsidP="008C3AE4">
      <w:pPr>
        <w:numPr>
          <w:ilvl w:val="1"/>
          <w:numId w:val="32"/>
        </w:numPr>
        <w:spacing w:before="75" w:after="75" w:line="315" w:lineRule="atLeast"/>
        <w:rPr>
          <w:rFonts w:ascii="Arial" w:eastAsia="Calibri" w:hAnsi="Arial" w:cs="Arial"/>
          <w:color w:val="000000"/>
          <w:sz w:val="21"/>
          <w:szCs w:val="21"/>
          <w:lang w:eastAsia="en-GB"/>
        </w:rPr>
      </w:pPr>
      <w:r w:rsidRPr="008C3AE4">
        <w:rPr>
          <w:rFonts w:ascii="Arial" w:eastAsia="Calibri" w:hAnsi="Arial" w:cs="Arial"/>
          <w:color w:val="000000"/>
          <w:sz w:val="21"/>
          <w:szCs w:val="21"/>
          <w:lang w:eastAsia="en-GB"/>
        </w:rPr>
        <w:t xml:space="preserve">This can be expressed as the following equation where </w:t>
      </w:r>
      <w:r w:rsidRPr="008C3AE4">
        <w:rPr>
          <w:rFonts w:ascii="Arial" w:eastAsia="Calibri" w:hAnsi="Arial"/>
          <w:i/>
          <w:iCs/>
          <w:sz w:val="24"/>
          <w:szCs w:val="21"/>
          <w:lang w:val="fr-FR" w:eastAsia="en-GB"/>
        </w:rPr>
        <w:t>T</w:t>
      </w:r>
      <w:r w:rsidRPr="008C3AE4">
        <w:rPr>
          <w:rFonts w:ascii="Arial" w:eastAsia="Calibri" w:hAnsi="Arial"/>
          <w:i/>
          <w:iCs/>
          <w:sz w:val="24"/>
          <w:szCs w:val="21"/>
          <w:vertAlign w:val="subscript"/>
          <w:lang w:val="fr-FR" w:eastAsia="en-GB"/>
        </w:rPr>
        <w:t>1</w:t>
      </w:r>
      <w:r w:rsidRPr="008C3AE4">
        <w:rPr>
          <w:rFonts w:ascii="Arial" w:eastAsia="Calibri" w:hAnsi="Arial"/>
          <w:i/>
          <w:iCs/>
          <w:sz w:val="24"/>
          <w:szCs w:val="21"/>
          <w:lang w:val="fr-FR" w:eastAsia="en-GB"/>
        </w:rPr>
        <w:t xml:space="preserve">’ </w:t>
      </w:r>
      <w:r w:rsidRPr="008C3AE4">
        <w:rPr>
          <w:rFonts w:ascii="Arial" w:eastAsia="Calibri" w:hAnsi="Arial" w:cs="Arial"/>
          <w:color w:val="000000"/>
          <w:sz w:val="21"/>
          <w:szCs w:val="21"/>
          <w:lang w:eastAsia="en-GB"/>
        </w:rPr>
        <w:t>is the time when the UE has completed SSB RSRP</w:t>
      </w:r>
      <w:r w:rsidRPr="008C3AE4">
        <w:rPr>
          <w:rFonts w:ascii="Arial" w:eastAsia="Calibri" w:hAnsi="Arial" w:cs="Arial"/>
          <w:color w:val="000000"/>
          <w:sz w:val="21"/>
          <w:szCs w:val="21"/>
          <w:vertAlign w:val="subscript"/>
          <w:lang w:eastAsia="en-GB"/>
        </w:rPr>
        <w:t>1</w:t>
      </w:r>
      <w:r w:rsidRPr="008C3AE4">
        <w:rPr>
          <w:rFonts w:ascii="Arial" w:eastAsia="Calibri" w:hAnsi="Arial" w:cs="Arial"/>
          <w:color w:val="000000"/>
          <w:sz w:val="21"/>
          <w:szCs w:val="21"/>
          <w:lang w:eastAsia="en-GB"/>
        </w:rPr>
        <w:t xml:space="preserve"> :</w:t>
      </w:r>
    </w:p>
    <w:p w14:paraId="152B49CC" w14:textId="6F3C540B" w:rsidR="008C3AE4" w:rsidRPr="008C3AE4" w:rsidRDefault="008C3AE4" w:rsidP="008C3AE4">
      <w:pPr>
        <w:widowControl w:val="0"/>
        <w:spacing w:after="160" w:line="256" w:lineRule="auto"/>
        <w:ind w:left="960" w:firstLine="120"/>
        <w:jc w:val="both"/>
        <w:rPr>
          <w:rFonts w:ascii="Calibri" w:eastAsia="SimSun" w:hAnsi="Calibri"/>
          <w:i/>
          <w:iCs/>
          <w:kern w:val="2"/>
          <w:sz w:val="21"/>
          <w:szCs w:val="21"/>
          <w:lang w:val="fr-FR" w:eastAsia="zh-CN"/>
        </w:rPr>
      </w:pPr>
      <w:r w:rsidRPr="008C3AE4">
        <w:rPr>
          <w:rFonts w:ascii="Calibri" w:eastAsia="SimSun" w:hAnsi="Calibri"/>
          <w:i/>
          <w:iCs/>
          <w:kern w:val="2"/>
          <w:sz w:val="21"/>
          <w:szCs w:val="21"/>
          <w:lang w:val="fr-FR" w:eastAsia="zh-CN"/>
        </w:rPr>
        <w:t>(T</w:t>
      </w:r>
      <w:r w:rsidRPr="008C3AE4">
        <w:rPr>
          <w:rFonts w:ascii="Calibri" w:eastAsia="SimSun" w:hAnsi="Calibri"/>
          <w:i/>
          <w:iCs/>
          <w:kern w:val="2"/>
          <w:sz w:val="21"/>
          <w:szCs w:val="21"/>
          <w:vertAlign w:val="subscript"/>
          <w:lang w:val="fr-FR" w:eastAsia="zh-CN"/>
        </w:rPr>
        <w:t>1</w:t>
      </w:r>
      <w:r w:rsidRPr="008C3AE4">
        <w:rPr>
          <w:rFonts w:ascii="Calibri" w:eastAsia="SimSun" w:hAnsi="Calibri"/>
          <w:i/>
          <w:iCs/>
          <w:kern w:val="2"/>
          <w:sz w:val="21"/>
          <w:szCs w:val="21"/>
          <w:lang w:val="fr-FR" w:eastAsia="zh-CN"/>
        </w:rPr>
        <w:t xml:space="preserve"> – min(</w:t>
      </w:r>
      <w:r w:rsidRPr="008C3AE4">
        <w:rPr>
          <w:rFonts w:ascii="Calibri" w:eastAsia="SimSun" w:hAnsi="Calibri" w:cs="Arial"/>
          <w:color w:val="000000"/>
          <w:kern w:val="2"/>
          <w:sz w:val="21"/>
          <w:szCs w:val="21"/>
          <w:lang w:eastAsia="zh-CN"/>
        </w:rPr>
        <w:t>∆T</w:t>
      </w:r>
      <w:r w:rsidRPr="008C3AE4">
        <w:rPr>
          <w:rFonts w:ascii="Calibri" w:eastAsia="SimSun" w:hAnsi="Calibri" w:cs="Arial"/>
          <w:color w:val="000000"/>
          <w:kern w:val="2"/>
          <w:sz w:val="21"/>
          <w:szCs w:val="21"/>
          <w:vertAlign w:val="subscript"/>
          <w:lang w:eastAsia="zh-CN"/>
        </w:rPr>
        <w:t>1</w:t>
      </w:r>
      <w:r w:rsidRPr="008C3AE4">
        <w:rPr>
          <w:rFonts w:ascii="Calibri" w:eastAsia="SimSun" w:hAnsi="Calibri"/>
          <w:i/>
          <w:iCs/>
          <w:kern w:val="2"/>
          <w:sz w:val="21"/>
          <w:szCs w:val="21"/>
          <w:lang w:val="fr-FR" w:eastAsia="zh-CN"/>
        </w:rPr>
        <w:t>/2, DRX cycle)) ≤  T</w:t>
      </w:r>
      <w:r w:rsidRPr="008C3AE4">
        <w:rPr>
          <w:rFonts w:ascii="Calibri" w:eastAsia="SimSun" w:hAnsi="Calibri"/>
          <w:i/>
          <w:iCs/>
          <w:kern w:val="2"/>
          <w:sz w:val="21"/>
          <w:szCs w:val="21"/>
          <w:vertAlign w:val="subscript"/>
          <w:lang w:val="fr-FR" w:eastAsia="zh-CN"/>
        </w:rPr>
        <w:t>1</w:t>
      </w:r>
      <w:r w:rsidRPr="008C3AE4">
        <w:rPr>
          <w:rFonts w:ascii="Calibri" w:eastAsia="SimSun" w:hAnsi="Calibri"/>
          <w:i/>
          <w:iCs/>
          <w:kern w:val="2"/>
          <w:sz w:val="21"/>
          <w:szCs w:val="21"/>
          <w:lang w:val="fr-FR" w:eastAsia="zh-CN"/>
        </w:rPr>
        <w:t>’ ≤  (T</w:t>
      </w:r>
      <w:r w:rsidRPr="008C3AE4">
        <w:rPr>
          <w:rFonts w:ascii="Calibri" w:eastAsia="SimSun" w:hAnsi="Calibri"/>
          <w:i/>
          <w:iCs/>
          <w:kern w:val="2"/>
          <w:sz w:val="21"/>
          <w:szCs w:val="21"/>
          <w:vertAlign w:val="subscript"/>
          <w:lang w:val="fr-FR" w:eastAsia="zh-CN"/>
        </w:rPr>
        <w:t>1</w:t>
      </w:r>
      <w:r w:rsidRPr="008C3AE4">
        <w:rPr>
          <w:rFonts w:ascii="Calibri" w:eastAsia="SimSun" w:hAnsi="Calibri"/>
          <w:i/>
          <w:iCs/>
          <w:kern w:val="2"/>
          <w:sz w:val="21"/>
          <w:szCs w:val="21"/>
          <w:lang w:val="fr-FR" w:eastAsia="zh-CN"/>
        </w:rPr>
        <w:t xml:space="preserve"> + min(</w:t>
      </w:r>
      <w:r w:rsidRPr="008C3AE4">
        <w:rPr>
          <w:rFonts w:ascii="Calibri" w:eastAsia="SimSun" w:hAnsi="Calibri" w:cs="Arial"/>
          <w:color w:val="000000"/>
          <w:kern w:val="2"/>
          <w:sz w:val="21"/>
          <w:szCs w:val="21"/>
          <w:lang w:eastAsia="zh-CN"/>
        </w:rPr>
        <w:t>∆T</w:t>
      </w:r>
      <w:r w:rsidRPr="008C3AE4">
        <w:rPr>
          <w:rFonts w:ascii="Calibri" w:eastAsia="SimSun" w:hAnsi="Calibri" w:cs="Arial"/>
          <w:color w:val="000000"/>
          <w:kern w:val="2"/>
          <w:sz w:val="21"/>
          <w:szCs w:val="21"/>
          <w:vertAlign w:val="subscript"/>
          <w:lang w:eastAsia="zh-CN"/>
        </w:rPr>
        <w:t>1</w:t>
      </w:r>
      <w:r w:rsidRPr="008C3AE4">
        <w:rPr>
          <w:rFonts w:ascii="Calibri" w:eastAsia="SimSun" w:hAnsi="Calibri"/>
          <w:i/>
          <w:iCs/>
          <w:kern w:val="2"/>
          <w:sz w:val="21"/>
          <w:szCs w:val="21"/>
          <w:lang w:val="fr-FR" w:eastAsia="zh-CN"/>
        </w:rPr>
        <w:t>/2, DRX cycle))</w:t>
      </w:r>
    </w:p>
    <w:p w14:paraId="38BAC62A" w14:textId="44722616" w:rsidR="008C3AE4" w:rsidRPr="008C3AE4" w:rsidRDefault="008C3AE4" w:rsidP="008C3AE4">
      <w:pPr>
        <w:numPr>
          <w:ilvl w:val="0"/>
          <w:numId w:val="32"/>
        </w:numPr>
        <w:spacing w:before="75" w:after="75" w:line="315" w:lineRule="atLeast"/>
        <w:rPr>
          <w:rFonts w:ascii="Arial" w:eastAsia="Calibri" w:hAnsi="Arial" w:cs="Arial"/>
          <w:color w:val="000000"/>
          <w:sz w:val="21"/>
          <w:szCs w:val="21"/>
          <w:lang w:eastAsia="en-GB"/>
        </w:rPr>
      </w:pPr>
      <w:r w:rsidRPr="008C3AE4">
        <w:rPr>
          <w:rFonts w:ascii="Arial" w:eastAsia="Calibri" w:hAnsi="Arial" w:cs="Arial"/>
          <w:color w:val="000000"/>
          <w:sz w:val="21"/>
          <w:szCs w:val="21"/>
          <w:lang w:eastAsia="en-GB"/>
        </w:rPr>
        <w:lastRenderedPageBreak/>
        <w:t xml:space="preserve">Window #2: the window ends at </w:t>
      </w:r>
      <w:r w:rsidR="005D7437">
        <w:rPr>
          <w:rFonts w:ascii="Arial" w:eastAsia="Calibri" w:hAnsi="Arial" w:cs="Arial"/>
          <w:color w:val="000000"/>
          <w:sz w:val="21"/>
          <w:szCs w:val="21"/>
          <w:lang w:eastAsia="en-GB"/>
        </w:rPr>
        <w:t xml:space="preserve">the moment </w:t>
      </w:r>
      <w:r w:rsidRPr="008C3AE4">
        <w:rPr>
          <w:rFonts w:ascii="Arial" w:eastAsia="Calibri" w:hAnsi="Arial" w:cs="Arial"/>
          <w:color w:val="000000"/>
          <w:sz w:val="21"/>
          <w:szCs w:val="21"/>
          <w:lang w:eastAsia="en-GB"/>
        </w:rPr>
        <w:t>T</w:t>
      </w:r>
      <w:r w:rsidRPr="008C3AE4">
        <w:rPr>
          <w:rFonts w:ascii="Arial" w:eastAsia="Calibri" w:hAnsi="Arial" w:cs="Arial"/>
          <w:color w:val="000000"/>
          <w:sz w:val="21"/>
          <w:szCs w:val="21"/>
          <w:vertAlign w:val="subscript"/>
          <w:lang w:eastAsia="en-GB"/>
        </w:rPr>
        <w:t>2</w:t>
      </w:r>
      <w:r w:rsidRPr="008C3AE4">
        <w:rPr>
          <w:rFonts w:ascii="Arial" w:eastAsia="Calibri" w:hAnsi="Arial" w:cs="Arial"/>
          <w:color w:val="000000"/>
          <w:sz w:val="21"/>
          <w:szCs w:val="21"/>
          <w:lang w:eastAsia="en-GB"/>
        </w:rPr>
        <w:t>, which is the decision moment to validate TA for CG-SDT transmission. and RSRP</w:t>
      </w:r>
      <w:r w:rsidRPr="008C3AE4">
        <w:rPr>
          <w:rFonts w:ascii="Arial" w:eastAsia="Calibri" w:hAnsi="Arial" w:cs="Arial"/>
          <w:color w:val="000000"/>
          <w:sz w:val="21"/>
          <w:szCs w:val="21"/>
          <w:vertAlign w:val="subscript"/>
          <w:lang w:eastAsia="en-GB"/>
        </w:rPr>
        <w:t>2</w:t>
      </w:r>
      <w:r w:rsidRPr="008C3AE4">
        <w:rPr>
          <w:rFonts w:ascii="Arial" w:eastAsia="Calibri" w:hAnsi="Arial" w:cs="Arial"/>
          <w:color w:val="000000"/>
          <w:sz w:val="21"/>
          <w:szCs w:val="21"/>
          <w:lang w:eastAsia="en-GB"/>
        </w:rPr>
        <w:t xml:space="preserve"> is measured within this window. The duration of </w:t>
      </w:r>
      <w:r w:rsidR="005D7437">
        <w:rPr>
          <w:rFonts w:ascii="Arial" w:eastAsia="Calibri" w:hAnsi="Arial" w:cs="Arial"/>
          <w:color w:val="000000"/>
          <w:sz w:val="21"/>
          <w:szCs w:val="21"/>
          <w:lang w:eastAsia="en-GB"/>
        </w:rPr>
        <w:t>W</w:t>
      </w:r>
      <w:r w:rsidRPr="008C3AE4">
        <w:rPr>
          <w:rFonts w:ascii="Arial" w:eastAsia="Calibri" w:hAnsi="Arial" w:cs="Arial"/>
          <w:color w:val="000000"/>
          <w:sz w:val="21"/>
          <w:szCs w:val="21"/>
          <w:lang w:eastAsia="en-GB"/>
        </w:rPr>
        <w:t>indow</w:t>
      </w:r>
      <w:r w:rsidR="005D7437">
        <w:rPr>
          <w:rFonts w:ascii="Arial" w:eastAsia="Calibri" w:hAnsi="Arial" w:cs="Arial"/>
          <w:color w:val="000000"/>
          <w:sz w:val="21"/>
          <w:szCs w:val="21"/>
          <w:lang w:eastAsia="en-GB"/>
        </w:rPr>
        <w:t xml:space="preserve"> #2</w:t>
      </w:r>
      <w:r w:rsidRPr="008C3AE4">
        <w:rPr>
          <w:rFonts w:ascii="Arial" w:eastAsia="Calibri" w:hAnsi="Arial" w:cs="Arial"/>
          <w:color w:val="000000"/>
          <w:sz w:val="21"/>
          <w:szCs w:val="21"/>
          <w:lang w:eastAsia="en-GB"/>
        </w:rPr>
        <w:t xml:space="preserve"> is ∆T</w:t>
      </w:r>
      <w:r w:rsidRPr="008C3AE4">
        <w:rPr>
          <w:rFonts w:ascii="Arial" w:eastAsia="Calibri" w:hAnsi="Arial" w:cs="Arial"/>
          <w:color w:val="000000"/>
          <w:sz w:val="21"/>
          <w:szCs w:val="21"/>
          <w:vertAlign w:val="subscript"/>
          <w:lang w:eastAsia="en-GB"/>
        </w:rPr>
        <w:t>2.</w:t>
      </w:r>
    </w:p>
    <w:p w14:paraId="705115CB" w14:textId="77777777" w:rsidR="008C3AE4" w:rsidRPr="008C3AE4" w:rsidRDefault="008C3AE4" w:rsidP="008C3AE4">
      <w:pPr>
        <w:numPr>
          <w:ilvl w:val="1"/>
          <w:numId w:val="32"/>
        </w:numPr>
        <w:spacing w:before="75" w:after="75" w:line="315" w:lineRule="atLeast"/>
        <w:rPr>
          <w:rFonts w:ascii="Arial" w:eastAsia="Calibri" w:hAnsi="Arial" w:cs="Arial"/>
          <w:color w:val="000000"/>
          <w:sz w:val="21"/>
          <w:szCs w:val="21"/>
          <w:lang w:eastAsia="en-GB"/>
        </w:rPr>
      </w:pPr>
      <w:r w:rsidRPr="008C3AE4">
        <w:rPr>
          <w:rFonts w:ascii="Arial" w:eastAsia="Calibri" w:hAnsi="Arial" w:cs="Arial"/>
          <w:color w:val="000000"/>
          <w:sz w:val="21"/>
          <w:szCs w:val="21"/>
          <w:lang w:eastAsia="en-GB"/>
        </w:rPr>
        <w:t xml:space="preserve">This can be expressed as the following equation where </w:t>
      </w:r>
      <w:r w:rsidRPr="008C3AE4">
        <w:rPr>
          <w:rFonts w:ascii="Arial" w:eastAsia="Calibri" w:hAnsi="Arial"/>
          <w:i/>
          <w:iCs/>
          <w:sz w:val="24"/>
          <w:szCs w:val="21"/>
          <w:lang w:val="fr-FR" w:eastAsia="en-GB"/>
        </w:rPr>
        <w:t>T</w:t>
      </w:r>
      <w:r w:rsidRPr="008C3AE4">
        <w:rPr>
          <w:rFonts w:ascii="Arial" w:eastAsia="Calibri" w:hAnsi="Arial"/>
          <w:i/>
          <w:iCs/>
          <w:sz w:val="24"/>
          <w:szCs w:val="21"/>
          <w:vertAlign w:val="subscript"/>
          <w:lang w:val="fr-FR" w:eastAsia="en-GB"/>
        </w:rPr>
        <w:t>2</w:t>
      </w:r>
      <w:r w:rsidRPr="008C3AE4">
        <w:rPr>
          <w:rFonts w:ascii="Arial" w:eastAsia="Calibri" w:hAnsi="Arial"/>
          <w:i/>
          <w:iCs/>
          <w:sz w:val="24"/>
          <w:szCs w:val="21"/>
          <w:lang w:val="fr-FR" w:eastAsia="en-GB"/>
        </w:rPr>
        <w:t xml:space="preserve">’ </w:t>
      </w:r>
      <w:r w:rsidRPr="008C3AE4">
        <w:rPr>
          <w:rFonts w:ascii="Arial" w:eastAsia="Calibri" w:hAnsi="Arial" w:cs="Arial"/>
          <w:color w:val="000000"/>
          <w:sz w:val="21"/>
          <w:szCs w:val="21"/>
          <w:lang w:eastAsia="en-GB"/>
        </w:rPr>
        <w:t>is the time when the UE has completed SSB RSRP</w:t>
      </w:r>
      <w:r w:rsidRPr="008C3AE4">
        <w:rPr>
          <w:rFonts w:ascii="Arial" w:eastAsia="Calibri" w:hAnsi="Arial" w:cs="Arial"/>
          <w:color w:val="000000"/>
          <w:sz w:val="21"/>
          <w:szCs w:val="21"/>
          <w:vertAlign w:val="subscript"/>
          <w:lang w:eastAsia="en-GB"/>
        </w:rPr>
        <w:t>2</w:t>
      </w:r>
      <w:r w:rsidRPr="008C3AE4">
        <w:rPr>
          <w:rFonts w:ascii="Arial" w:eastAsia="Calibri" w:hAnsi="Arial" w:cs="Arial"/>
          <w:color w:val="000000"/>
          <w:sz w:val="21"/>
          <w:szCs w:val="21"/>
          <w:lang w:eastAsia="en-GB"/>
        </w:rPr>
        <w:t>:</w:t>
      </w:r>
    </w:p>
    <w:p w14:paraId="71BDF318" w14:textId="52B17984" w:rsidR="008C3AE4" w:rsidRPr="008C3AE4" w:rsidRDefault="008C3AE4" w:rsidP="008C3AE4">
      <w:pPr>
        <w:widowControl w:val="0"/>
        <w:spacing w:after="160" w:line="256" w:lineRule="auto"/>
        <w:ind w:left="960" w:firstLine="300"/>
        <w:jc w:val="both"/>
        <w:rPr>
          <w:rFonts w:ascii="Calibri" w:eastAsia="SimSun" w:hAnsi="Calibri"/>
          <w:i/>
          <w:iCs/>
          <w:kern w:val="2"/>
          <w:sz w:val="21"/>
          <w:szCs w:val="21"/>
          <w:lang w:val="fr-FR" w:eastAsia="zh-CN"/>
        </w:rPr>
      </w:pPr>
      <w:r w:rsidRPr="008C3AE4">
        <w:rPr>
          <w:rFonts w:ascii="Calibri" w:eastAsia="SimSun" w:hAnsi="Calibri"/>
          <w:i/>
          <w:iCs/>
          <w:kern w:val="2"/>
          <w:sz w:val="21"/>
          <w:szCs w:val="21"/>
          <w:lang w:val="fr-FR" w:eastAsia="zh-CN"/>
        </w:rPr>
        <w:t>T</w:t>
      </w:r>
      <w:r w:rsidRPr="008C3AE4">
        <w:rPr>
          <w:rFonts w:ascii="Calibri" w:eastAsia="SimSun" w:hAnsi="Calibri"/>
          <w:i/>
          <w:iCs/>
          <w:kern w:val="2"/>
          <w:sz w:val="21"/>
          <w:szCs w:val="21"/>
          <w:vertAlign w:val="subscript"/>
          <w:lang w:val="fr-FR" w:eastAsia="zh-CN"/>
        </w:rPr>
        <w:t>2</w:t>
      </w:r>
      <w:r w:rsidRPr="008C3AE4">
        <w:rPr>
          <w:rFonts w:ascii="Calibri" w:eastAsia="SimSun" w:hAnsi="Calibri"/>
          <w:i/>
          <w:iCs/>
          <w:kern w:val="2"/>
          <w:sz w:val="21"/>
          <w:szCs w:val="21"/>
          <w:lang w:val="fr-FR" w:eastAsia="zh-CN"/>
        </w:rPr>
        <w:t xml:space="preserve"> – min(</w:t>
      </w:r>
      <w:r w:rsidRPr="008C3AE4">
        <w:rPr>
          <w:rFonts w:ascii="Calibri" w:eastAsia="SimSun" w:hAnsi="Calibri" w:cs="Arial"/>
          <w:color w:val="000000"/>
          <w:kern w:val="2"/>
          <w:sz w:val="21"/>
          <w:szCs w:val="21"/>
          <w:lang w:eastAsia="zh-CN"/>
        </w:rPr>
        <w:t>∆T</w:t>
      </w:r>
      <w:r w:rsidRPr="008C3AE4">
        <w:rPr>
          <w:rFonts w:ascii="Calibri" w:eastAsia="SimSun" w:hAnsi="Calibri" w:cs="Arial"/>
          <w:color w:val="000000"/>
          <w:kern w:val="2"/>
          <w:sz w:val="21"/>
          <w:szCs w:val="21"/>
          <w:vertAlign w:val="subscript"/>
          <w:lang w:eastAsia="zh-CN"/>
        </w:rPr>
        <w:t>2</w:t>
      </w:r>
      <w:r w:rsidRPr="008C3AE4">
        <w:rPr>
          <w:rFonts w:ascii="Calibri" w:eastAsia="SimSun" w:hAnsi="Calibri"/>
          <w:i/>
          <w:iCs/>
          <w:kern w:val="2"/>
          <w:sz w:val="21"/>
          <w:szCs w:val="21"/>
          <w:lang w:val="fr-FR" w:eastAsia="zh-CN"/>
        </w:rPr>
        <w:t xml:space="preserve">, DRX cycle) </w:t>
      </w:r>
      <w:r w:rsidRPr="008C3AE4">
        <w:rPr>
          <w:rFonts w:ascii="Calibri" w:eastAsia="SimSun" w:hAnsi="Calibri" w:hint="eastAsia"/>
          <w:i/>
          <w:iCs/>
          <w:kern w:val="2"/>
          <w:sz w:val="21"/>
          <w:szCs w:val="21"/>
          <w:lang w:val="fr-FR" w:eastAsia="zh-CN"/>
        </w:rPr>
        <w:t>≤</w:t>
      </w:r>
      <w:r w:rsidRPr="008C3AE4">
        <w:rPr>
          <w:rFonts w:ascii="Calibri" w:eastAsia="SimSun" w:hAnsi="Calibri"/>
          <w:i/>
          <w:iCs/>
          <w:kern w:val="2"/>
          <w:sz w:val="21"/>
          <w:szCs w:val="21"/>
          <w:lang w:val="fr-FR" w:eastAsia="zh-CN"/>
        </w:rPr>
        <w:t xml:space="preserve"> T</w:t>
      </w:r>
      <w:r w:rsidRPr="008C3AE4">
        <w:rPr>
          <w:rFonts w:ascii="Calibri" w:eastAsia="SimSun" w:hAnsi="Calibri"/>
          <w:i/>
          <w:iCs/>
          <w:kern w:val="2"/>
          <w:sz w:val="21"/>
          <w:szCs w:val="21"/>
          <w:vertAlign w:val="subscript"/>
          <w:lang w:val="fr-FR" w:eastAsia="zh-CN"/>
        </w:rPr>
        <w:t>2</w:t>
      </w:r>
      <w:r w:rsidRPr="008C3AE4">
        <w:rPr>
          <w:rFonts w:ascii="Calibri" w:eastAsia="SimSun" w:hAnsi="Calibri"/>
          <w:i/>
          <w:iCs/>
          <w:kern w:val="2"/>
          <w:sz w:val="21"/>
          <w:szCs w:val="21"/>
          <w:lang w:val="fr-FR" w:eastAsia="zh-CN"/>
        </w:rPr>
        <w:t xml:space="preserve">’ </w:t>
      </w:r>
      <w:r w:rsidRPr="008C3AE4">
        <w:rPr>
          <w:rFonts w:ascii="Calibri" w:eastAsia="SimSun" w:hAnsi="Calibri" w:hint="eastAsia"/>
          <w:i/>
          <w:iCs/>
          <w:kern w:val="2"/>
          <w:sz w:val="21"/>
          <w:szCs w:val="21"/>
          <w:lang w:val="fr-FR" w:eastAsia="zh-CN"/>
        </w:rPr>
        <w:t>≤</w:t>
      </w:r>
      <w:r w:rsidRPr="008C3AE4">
        <w:rPr>
          <w:rFonts w:ascii="Calibri" w:eastAsia="SimSun" w:hAnsi="Calibri"/>
          <w:i/>
          <w:iCs/>
          <w:kern w:val="2"/>
          <w:sz w:val="21"/>
          <w:szCs w:val="21"/>
          <w:lang w:val="fr-FR" w:eastAsia="zh-CN"/>
        </w:rPr>
        <w:t xml:space="preserve"> T</w:t>
      </w:r>
      <w:r w:rsidRPr="008C3AE4">
        <w:rPr>
          <w:rFonts w:ascii="Calibri" w:eastAsia="SimSun" w:hAnsi="Calibri"/>
          <w:i/>
          <w:iCs/>
          <w:kern w:val="2"/>
          <w:sz w:val="21"/>
          <w:szCs w:val="21"/>
          <w:vertAlign w:val="subscript"/>
          <w:lang w:val="fr-FR" w:eastAsia="zh-CN"/>
        </w:rPr>
        <w:t>2</w:t>
      </w:r>
    </w:p>
    <w:p w14:paraId="6A2C2679" w14:textId="22FCD0F5" w:rsidR="00EB4D29" w:rsidRPr="008C3AE4" w:rsidRDefault="00617BC1" w:rsidP="009B2891">
      <w:pPr>
        <w:pStyle w:val="BodyText"/>
        <w:tabs>
          <w:tab w:val="num" w:pos="226"/>
          <w:tab w:val="num" w:pos="284"/>
          <w:tab w:val="left" w:pos="5103"/>
        </w:tabs>
        <w:snapToGrid w:val="0"/>
        <w:rPr>
          <w:rFonts w:eastAsia="SimSun"/>
          <w:bCs/>
          <w:sz w:val="21"/>
          <w:szCs w:val="21"/>
          <w:lang w:val="fr-FR" w:eastAsia="zh-CN"/>
        </w:rPr>
      </w:pPr>
      <w:r>
        <w:rPr>
          <w:rFonts w:eastAsia="SimSun"/>
          <w:bCs/>
          <w:sz w:val="21"/>
          <w:szCs w:val="21"/>
          <w:lang w:val="fr-FR" w:eastAsia="zh-CN"/>
        </w:rPr>
        <w:t xml:space="preserve">A good starting-point for the two window size is 480ms as in LTE PUR [5]. </w:t>
      </w:r>
    </w:p>
    <w:p w14:paraId="7BFFF71C" w14:textId="21DD4F52"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617BC1">
        <w:rPr>
          <w:rFonts w:eastAsia="SimSun"/>
          <w:b/>
          <w:bCs/>
          <w:sz w:val="21"/>
          <w:szCs w:val="21"/>
          <w:lang w:val="en-GB" w:eastAsia="zh-CN"/>
        </w:rPr>
        <w:t>4</w:t>
      </w:r>
      <w:r w:rsidRPr="009C0ACA">
        <w:rPr>
          <w:rFonts w:eastAsia="SimSun"/>
          <w:b/>
          <w:bCs/>
          <w:sz w:val="21"/>
          <w:szCs w:val="21"/>
          <w:lang w:val="en-GB" w:eastAsia="zh-CN"/>
        </w:rPr>
        <w:t>:</w:t>
      </w:r>
      <w:r w:rsidR="00617BC1">
        <w:rPr>
          <w:rFonts w:eastAsia="SimSun"/>
          <w:b/>
          <w:bCs/>
          <w:sz w:val="21"/>
          <w:szCs w:val="21"/>
          <w:lang w:val="en-GB" w:eastAsia="zh-CN"/>
        </w:rPr>
        <w:t xml:space="preserve"> A good starting-point for the two windows sizes for TA validation is 480ms as in LTE PUR.</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7FB7D760" w14:textId="77777777" w:rsidR="001368C4"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proposal</w:t>
      </w:r>
      <w:r w:rsidR="001368C4">
        <w:rPr>
          <w:rFonts w:eastAsia="SimSun"/>
          <w:bCs/>
          <w:sz w:val="21"/>
          <w:szCs w:val="21"/>
          <w:lang w:val="en-GB" w:eastAsia="zh-CN"/>
        </w:rPr>
        <w:t>s</w:t>
      </w:r>
      <w:r>
        <w:rPr>
          <w:rFonts w:eastAsia="SimSun"/>
          <w:bCs/>
          <w:sz w:val="21"/>
          <w:szCs w:val="21"/>
          <w:lang w:val="en-GB" w:eastAsia="zh-CN"/>
        </w:rPr>
        <w:t xml:space="preserve"> for</w:t>
      </w:r>
      <w:r w:rsidR="001368C4">
        <w:rPr>
          <w:rFonts w:eastAsia="SimSun"/>
          <w:bCs/>
          <w:sz w:val="21"/>
          <w:szCs w:val="21"/>
          <w:lang w:val="en-GB" w:eastAsia="zh-CN"/>
        </w:rPr>
        <w:t xml:space="preserve"> RRM requirements for SDT:</w:t>
      </w:r>
    </w:p>
    <w:p w14:paraId="1F46C977" w14:textId="3B8FF589" w:rsidR="0009766A" w:rsidRDefault="0009766A" w:rsidP="009B2891">
      <w:pPr>
        <w:pStyle w:val="BodyText"/>
        <w:tabs>
          <w:tab w:val="num" w:pos="226"/>
          <w:tab w:val="num" w:pos="284"/>
          <w:tab w:val="left" w:pos="5103"/>
        </w:tabs>
        <w:snapToGrid w:val="0"/>
        <w:rPr>
          <w:rFonts w:eastAsia="SimSun"/>
          <w:b/>
          <w:sz w:val="21"/>
          <w:szCs w:val="21"/>
          <w:lang w:val="en-US" w:eastAsia="zh-CN"/>
        </w:rPr>
      </w:pPr>
      <w:r w:rsidRPr="008C57A9">
        <w:rPr>
          <w:rFonts w:eastAsia="SimSun"/>
          <w:b/>
          <w:sz w:val="21"/>
          <w:szCs w:val="21"/>
          <w:lang w:val="en-US" w:eastAsia="zh-CN"/>
        </w:rPr>
        <w:t>Proposal 1: SDT decision procedure shall be specified in RAN2 specs, and decisions are totally up to scheduler’s implementation. RAN4 does not need to introduce any RRM requirement for SDT decision procedure.</w:t>
      </w:r>
    </w:p>
    <w:p w14:paraId="1CCB6023" w14:textId="74EDB1F4" w:rsidR="0009766A" w:rsidRDefault="0009766A" w:rsidP="009B2891">
      <w:pPr>
        <w:pStyle w:val="BodyText"/>
        <w:tabs>
          <w:tab w:val="num" w:pos="226"/>
          <w:tab w:val="num" w:pos="284"/>
          <w:tab w:val="left" w:pos="5103"/>
        </w:tabs>
        <w:snapToGrid w:val="0"/>
        <w:rPr>
          <w:rFonts w:eastAsia="SimSun"/>
          <w:b/>
          <w:sz w:val="21"/>
          <w:szCs w:val="21"/>
          <w:lang w:val="en-GB" w:eastAsia="zh-CN"/>
        </w:rPr>
      </w:pPr>
      <w:r w:rsidRPr="00643F09">
        <w:rPr>
          <w:rFonts w:eastAsia="SimSun"/>
          <w:b/>
          <w:sz w:val="21"/>
          <w:szCs w:val="21"/>
          <w:lang w:val="en-US" w:eastAsia="zh-CN"/>
        </w:rPr>
        <w:t>Proposal 2: The validity of the SDT decisions for subsequent transmission has no impact on RAN4 specs.</w:t>
      </w:r>
    </w:p>
    <w:p w14:paraId="1C1D2D6C" w14:textId="4D03A110" w:rsidR="003E361E" w:rsidRPr="0009766A" w:rsidRDefault="0009766A" w:rsidP="009B2891">
      <w:pPr>
        <w:pStyle w:val="BodyText"/>
        <w:tabs>
          <w:tab w:val="num" w:pos="226"/>
          <w:tab w:val="num" w:pos="284"/>
          <w:tab w:val="left" w:pos="5103"/>
        </w:tabs>
        <w:snapToGrid w:val="0"/>
        <w:rPr>
          <w:rFonts w:eastAsia="SimSun"/>
          <w:b/>
          <w:sz w:val="21"/>
          <w:szCs w:val="21"/>
          <w:lang w:val="en-US" w:eastAsia="zh-CN"/>
        </w:rPr>
      </w:pPr>
      <w:r w:rsidRPr="00AD0546">
        <w:rPr>
          <w:rFonts w:eastAsia="SimSun"/>
          <w:b/>
          <w:sz w:val="21"/>
          <w:szCs w:val="21"/>
          <w:lang w:val="en-US" w:eastAsia="zh-CN"/>
        </w:rPr>
        <w:t xml:space="preserve">Proposal 3: RAN4 does not need to introduce additional sync requirements for the UE being allowed for CG-SDT transmission. </w:t>
      </w:r>
      <w:r w:rsidR="009C0ACA">
        <w:rPr>
          <w:rFonts w:eastAsia="SimSun"/>
          <w:bCs/>
          <w:sz w:val="21"/>
          <w:szCs w:val="21"/>
          <w:lang w:val="en-GB" w:eastAsia="zh-CN"/>
        </w:rPr>
        <w:t xml:space="preserve"> </w:t>
      </w:r>
    </w:p>
    <w:p w14:paraId="26643724" w14:textId="672C3E91" w:rsidR="009C0ACA" w:rsidRPr="008F21B2" w:rsidRDefault="0009766A" w:rsidP="00CA4C30">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4</w:t>
      </w:r>
      <w:r w:rsidRPr="009C0ACA">
        <w:rPr>
          <w:rFonts w:eastAsia="SimSun"/>
          <w:b/>
          <w:bCs/>
          <w:sz w:val="21"/>
          <w:szCs w:val="21"/>
          <w:lang w:val="en-GB" w:eastAsia="zh-CN"/>
        </w:rPr>
        <w:t>:</w:t>
      </w:r>
      <w:r>
        <w:rPr>
          <w:rFonts w:eastAsia="SimSun"/>
          <w:b/>
          <w:bCs/>
          <w:sz w:val="21"/>
          <w:szCs w:val="21"/>
          <w:lang w:val="en-GB" w:eastAsia="zh-CN"/>
        </w:rPr>
        <w:t xml:space="preserve"> A good starting-point for the two windows sizes for TA validation is 480ms as in LTE PUR.</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52332220" w:rsidR="00A208FC" w:rsidRDefault="00D0160F" w:rsidP="00C80ED3">
      <w:pPr>
        <w:pStyle w:val="List2"/>
      </w:pPr>
      <w:r w:rsidRPr="00D0160F">
        <w:t>R</w:t>
      </w:r>
      <w:r w:rsidR="00570ADE">
        <w:t xml:space="preserve">4-2120339 </w:t>
      </w:r>
      <w:r w:rsidR="00570ADE" w:rsidRPr="00570ADE">
        <w:t>Workplan for SDT RRM requirements</w:t>
      </w:r>
      <w:r w:rsidR="00570ADE">
        <w:t>, ZTE</w:t>
      </w:r>
      <w:r w:rsidR="00D5299F">
        <w:t>, Sanechips</w:t>
      </w:r>
    </w:p>
    <w:p w14:paraId="0EB10F47" w14:textId="5B7FB001" w:rsidR="00D101BD" w:rsidRPr="00EF7328" w:rsidRDefault="00D101BD" w:rsidP="00C80ED3">
      <w:pPr>
        <w:pStyle w:val="List2"/>
      </w:pPr>
      <w:r>
        <w:t xml:space="preserve">R4-2120338 </w:t>
      </w:r>
      <w:r w:rsidRPr="00D101BD">
        <w:rPr>
          <w:lang w:val="en-US"/>
        </w:rPr>
        <w:t>WF on RRM requirements for NR SDT in INACTIVE state</w:t>
      </w:r>
      <w:r>
        <w:rPr>
          <w:lang w:val="en-US"/>
        </w:rPr>
        <w:t>, ZTE</w:t>
      </w:r>
    </w:p>
    <w:p w14:paraId="4C9001A9" w14:textId="712560EA" w:rsidR="00EF7328" w:rsidRPr="00010D44" w:rsidRDefault="00EF7328" w:rsidP="00EF7328">
      <w:pPr>
        <w:pStyle w:val="List2"/>
      </w:pPr>
      <w:r>
        <w:t>R4-2118961 On RRM core requirements for SDT, Nokia, Nokia Shanghai Bell</w:t>
      </w:r>
    </w:p>
    <w:p w14:paraId="17703CD4" w14:textId="28F5428A" w:rsidR="00010D44" w:rsidRPr="005D0FF4" w:rsidRDefault="00010D44" w:rsidP="00C80ED3">
      <w:pPr>
        <w:pStyle w:val="List2"/>
      </w:pPr>
      <w:r>
        <w:rPr>
          <w:lang w:val="en-US"/>
        </w:rPr>
        <w:t xml:space="preserve">R4-2120382 </w:t>
      </w:r>
      <w:r w:rsidRPr="00010D44">
        <w:rPr>
          <w:lang w:val="en-US"/>
        </w:rPr>
        <w:t>Summary on [101-e][240]NRSmallData_INACTIVE_NWM(2</w:t>
      </w:r>
      <w:r w:rsidRPr="00010D44">
        <w:rPr>
          <w:vertAlign w:val="superscript"/>
          <w:lang w:val="en-US"/>
        </w:rPr>
        <w:t>nd</w:t>
      </w:r>
      <w:r>
        <w:rPr>
          <w:lang w:val="en-US"/>
        </w:rPr>
        <w:t xml:space="preserve"> </w:t>
      </w:r>
      <w:r w:rsidRPr="00010D44">
        <w:rPr>
          <w:lang w:val="en-US"/>
        </w:rPr>
        <w:t>round)</w:t>
      </w:r>
      <w:r>
        <w:rPr>
          <w:lang w:val="en-US"/>
        </w:rPr>
        <w:t>,</w:t>
      </w:r>
      <w:r w:rsidRPr="00010D44">
        <w:rPr>
          <w:lang w:val="en-US"/>
        </w:rPr>
        <w:tab/>
        <w:t>Moderator(ZTE)</w:t>
      </w:r>
    </w:p>
    <w:p w14:paraId="64065FA7" w14:textId="423AAF37" w:rsidR="005D0FF4" w:rsidRPr="00183F7C" w:rsidRDefault="005D0FF4" w:rsidP="00C80ED3">
      <w:pPr>
        <w:pStyle w:val="List2"/>
      </w:pPr>
      <w:r>
        <w:rPr>
          <w:lang w:val="en-US"/>
        </w:rPr>
        <w:t>TS 36.133 v17.3.0</w:t>
      </w:r>
    </w:p>
    <w:sectPr w:rsidR="005D0FF4"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729BB" w14:textId="77777777" w:rsidR="00BD1754" w:rsidRDefault="00BD1754" w:rsidP="00E7784C">
      <w:r>
        <w:separator/>
      </w:r>
    </w:p>
  </w:endnote>
  <w:endnote w:type="continuationSeparator" w:id="0">
    <w:p w14:paraId="3F4E23B1" w14:textId="77777777" w:rsidR="00BD1754" w:rsidRDefault="00BD1754"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4D347" w14:textId="77777777" w:rsidR="00BD1754" w:rsidRDefault="00BD1754" w:rsidP="00E7784C">
      <w:r>
        <w:separator/>
      </w:r>
    </w:p>
  </w:footnote>
  <w:footnote w:type="continuationSeparator" w:id="0">
    <w:p w14:paraId="733DE820" w14:textId="77777777" w:rsidR="00BD1754" w:rsidRDefault="00BD1754"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6B07055"/>
    <w:multiLevelType w:val="hybridMultilevel"/>
    <w:tmpl w:val="876A5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C05E45"/>
    <w:multiLevelType w:val="hybridMultilevel"/>
    <w:tmpl w:val="81D2D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C815D8"/>
    <w:multiLevelType w:val="hybridMultilevel"/>
    <w:tmpl w:val="6BF4D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2"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4"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21"/>
  </w:num>
  <w:num w:numId="4">
    <w:abstractNumId w:val="14"/>
  </w:num>
  <w:num w:numId="5">
    <w:abstractNumId w:val="17"/>
  </w:num>
  <w:num w:numId="6">
    <w:abstractNumId w:val="0"/>
  </w:num>
  <w:num w:numId="7">
    <w:abstractNumId w:val="22"/>
  </w:num>
  <w:num w:numId="8">
    <w:abstractNumId w:val="9"/>
  </w:num>
  <w:num w:numId="9">
    <w:abstractNumId w:val="7"/>
  </w:num>
  <w:num w:numId="10">
    <w:abstractNumId w:val="16"/>
  </w:num>
  <w:num w:numId="11">
    <w:abstractNumId w:val="1"/>
  </w:num>
  <w:num w:numId="12">
    <w:abstractNumId w:val="21"/>
  </w:num>
  <w:num w:numId="13">
    <w:abstractNumId w:val="21"/>
  </w:num>
  <w:num w:numId="14">
    <w:abstractNumId w:val="21"/>
  </w:num>
  <w:num w:numId="15">
    <w:abstractNumId w:val="12"/>
  </w:num>
  <w:num w:numId="16">
    <w:abstractNumId w:val="18"/>
  </w:num>
  <w:num w:numId="17">
    <w:abstractNumId w:val="21"/>
  </w:num>
  <w:num w:numId="18">
    <w:abstractNumId w:val="4"/>
  </w:num>
  <w:num w:numId="19">
    <w:abstractNumId w:val="10"/>
  </w:num>
  <w:num w:numId="20">
    <w:abstractNumId w:val="2"/>
  </w:num>
  <w:num w:numId="21">
    <w:abstractNumId w:val="11"/>
  </w:num>
  <w:num w:numId="2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0"/>
  </w:num>
  <w:num w:numId="27">
    <w:abstractNumId w:val="24"/>
  </w:num>
  <w:num w:numId="28">
    <w:abstractNumId w:val="23"/>
  </w:num>
  <w:num w:numId="29">
    <w:abstractNumId w:val="15"/>
  </w:num>
  <w:num w:numId="30">
    <w:abstractNumId w:val="6"/>
  </w:num>
  <w:num w:numId="31">
    <w:abstractNumId w:val="13"/>
  </w:num>
  <w:num w:numId="3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0D44"/>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66A"/>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6E64"/>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8C4"/>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BE6"/>
    <w:rsid w:val="001B1CA3"/>
    <w:rsid w:val="001B1F1B"/>
    <w:rsid w:val="001B28AF"/>
    <w:rsid w:val="001B2D60"/>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6964"/>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4C7"/>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07034"/>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5E0"/>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B74C3"/>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B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0ADE"/>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2F70"/>
    <w:rsid w:val="005B6616"/>
    <w:rsid w:val="005B6FBE"/>
    <w:rsid w:val="005B7507"/>
    <w:rsid w:val="005B7EFB"/>
    <w:rsid w:val="005C178E"/>
    <w:rsid w:val="005C1EAF"/>
    <w:rsid w:val="005C33BC"/>
    <w:rsid w:val="005C4F83"/>
    <w:rsid w:val="005C6933"/>
    <w:rsid w:val="005C7F09"/>
    <w:rsid w:val="005C7F24"/>
    <w:rsid w:val="005D0804"/>
    <w:rsid w:val="005D0FF4"/>
    <w:rsid w:val="005D1616"/>
    <w:rsid w:val="005D4E8E"/>
    <w:rsid w:val="005D5022"/>
    <w:rsid w:val="005D50E3"/>
    <w:rsid w:val="005D5687"/>
    <w:rsid w:val="005D5F35"/>
    <w:rsid w:val="005D66FD"/>
    <w:rsid w:val="005D7437"/>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BC1"/>
    <w:rsid w:val="00617C58"/>
    <w:rsid w:val="0062049F"/>
    <w:rsid w:val="0062206E"/>
    <w:rsid w:val="00624A40"/>
    <w:rsid w:val="0063035A"/>
    <w:rsid w:val="0063189F"/>
    <w:rsid w:val="00632832"/>
    <w:rsid w:val="00633146"/>
    <w:rsid w:val="00635726"/>
    <w:rsid w:val="0064060A"/>
    <w:rsid w:val="00641FC7"/>
    <w:rsid w:val="006427E9"/>
    <w:rsid w:val="00642AD3"/>
    <w:rsid w:val="00643717"/>
    <w:rsid w:val="00643F09"/>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144F"/>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5A49"/>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C6BFA"/>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B33"/>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3AE4"/>
    <w:rsid w:val="008C416E"/>
    <w:rsid w:val="008C56D9"/>
    <w:rsid w:val="008C57A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1B2"/>
    <w:rsid w:val="008F255F"/>
    <w:rsid w:val="008F3F01"/>
    <w:rsid w:val="008F441D"/>
    <w:rsid w:val="008F467B"/>
    <w:rsid w:val="008F6306"/>
    <w:rsid w:val="008F6850"/>
    <w:rsid w:val="008F7098"/>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125"/>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5DA"/>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5F67"/>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159F"/>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0546"/>
    <w:rsid w:val="00AD3F7B"/>
    <w:rsid w:val="00AD405C"/>
    <w:rsid w:val="00AD5163"/>
    <w:rsid w:val="00AD523D"/>
    <w:rsid w:val="00AD55F7"/>
    <w:rsid w:val="00AD57EA"/>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1E31"/>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1754"/>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979EE"/>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5C1"/>
    <w:rsid w:val="00CC398A"/>
    <w:rsid w:val="00CC4826"/>
    <w:rsid w:val="00CC488E"/>
    <w:rsid w:val="00CC4BEE"/>
    <w:rsid w:val="00CC6B56"/>
    <w:rsid w:val="00CC7328"/>
    <w:rsid w:val="00CC799E"/>
    <w:rsid w:val="00CC7A0F"/>
    <w:rsid w:val="00CD0200"/>
    <w:rsid w:val="00CD0A75"/>
    <w:rsid w:val="00CD2D2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01B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299F"/>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41C"/>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4D29"/>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0EB6"/>
    <w:rsid w:val="00EF5042"/>
    <w:rsid w:val="00EF7328"/>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3016"/>
    <w:rsid w:val="00F84853"/>
    <w:rsid w:val="00F8657A"/>
    <w:rsid w:val="00F870B8"/>
    <w:rsid w:val="00F87266"/>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6489950">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2422347">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60069415">
      <w:bodyDiv w:val="1"/>
      <w:marLeft w:val="0"/>
      <w:marRight w:val="0"/>
      <w:marTop w:val="0"/>
      <w:marBottom w:val="0"/>
      <w:divBdr>
        <w:top w:val="none" w:sz="0" w:space="0" w:color="auto"/>
        <w:left w:val="none" w:sz="0" w:space="0" w:color="auto"/>
        <w:bottom w:val="none" w:sz="0" w:space="0" w:color="auto"/>
        <w:right w:val="none" w:sz="0" w:space="0" w:color="auto"/>
      </w:divBdr>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768</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42</cp:revision>
  <cp:lastPrinted>2015-02-02T11:17:00Z</cp:lastPrinted>
  <dcterms:created xsi:type="dcterms:W3CDTF">2022-01-04T10:29:00Z</dcterms:created>
  <dcterms:modified xsi:type="dcterms:W3CDTF">2022-01-10T18:34:00Z</dcterms:modified>
</cp:coreProperties>
</file>